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5"/>
        <w:spacing w:before="0" w:after="0" w:line="240" w:lineRule="auto"/>
        <w:ind w:firstLine="617"/>
        <w:jc w:val="center"/>
        <w:rPr>
          <w:rFonts w:cs="黑体" w:asciiTheme="minorEastAsia" w:hAnsiTheme="minorEastAsia" w:eastAsiaTheme="minorEastAsia"/>
          <w:color w:val="000000" w:themeColor="text1"/>
          <w14:textFill>
            <w14:solidFill>
              <w14:schemeClr w14:val="tx1"/>
            </w14:solidFill>
          </w14:textFill>
        </w:rPr>
      </w:pPr>
      <w:bookmarkStart w:id="0" w:name="_Toc144480526"/>
      <w:r>
        <w:rPr>
          <w:rFonts w:hint="eastAsia" w:ascii="黑体" w:hAnsi="黑体" w:eastAsia="黑体" w:cs="黑体"/>
          <w:color w:val="000000" w:themeColor="text1"/>
          <w14:textFill>
            <w14:solidFill>
              <w14:schemeClr w14:val="tx1"/>
            </w14:solidFill>
          </w14:textFill>
        </w:rPr>
        <w:t>《电工技术》课程标准</w:t>
      </w:r>
      <w:bookmarkEnd w:id="0"/>
    </w:p>
    <w:p>
      <w:pPr>
        <w:spacing w:after="0" w:line="240" w:lineRule="auto"/>
        <w:ind w:firstLine="0" w:firstLineChars="0"/>
        <w:jc w:val="both"/>
        <w:rPr>
          <w:rFonts w:cs="黑体" w:asciiTheme="minorEastAsia" w:hAnsiTheme="minorEastAsia" w:eastAsiaTheme="minorEastAsia"/>
        </w:rPr>
      </w:pPr>
    </w:p>
    <w:p>
      <w:pPr>
        <w:pStyle w:val="2"/>
      </w:pPr>
    </w:p>
    <w:p>
      <w:pPr>
        <w:pStyle w:val="2"/>
      </w:pPr>
    </w:p>
    <w:p>
      <w:pPr>
        <w:spacing w:after="0" w:line="240" w:lineRule="auto"/>
        <w:ind w:firstLine="454"/>
        <w:jc w:val="both"/>
        <w:rPr>
          <w:rFonts w:asciiTheme="minorEastAsia" w:hAnsiTheme="minorEastAsia" w:eastAsiaTheme="minorEastAsia"/>
        </w:rPr>
      </w:pPr>
      <w:bookmarkStart w:id="1" w:name="_Toc144476168"/>
      <w:r>
        <w:rPr>
          <w:rFonts w:hint="eastAsia" w:asciiTheme="minorEastAsia" w:hAnsiTheme="minorEastAsia" w:eastAsiaTheme="minorEastAsia"/>
        </w:rPr>
        <w:t>一、课程信息</w:t>
      </w:r>
      <w:bookmarkEnd w:id="1"/>
    </w:p>
    <w:p>
      <w:pPr>
        <w:spacing w:after="0" w:line="240" w:lineRule="auto"/>
        <w:ind w:firstLine="454"/>
        <w:jc w:val="both"/>
        <w:rPr>
          <w:rFonts w:asciiTheme="minorEastAsia" w:hAnsiTheme="minorEastAsia" w:eastAsiaTheme="minorEastAsia"/>
        </w:rPr>
      </w:pPr>
      <w:r>
        <w:rPr>
          <w:rFonts w:hint="eastAsia" w:asciiTheme="minorEastAsia" w:hAnsiTheme="minorEastAsia" w:eastAsiaTheme="minorEastAsia"/>
        </w:rPr>
        <w:t>课程名称：电工技术</w:t>
      </w:r>
    </w:p>
    <w:p>
      <w:pPr>
        <w:spacing w:after="0" w:line="240" w:lineRule="auto"/>
        <w:ind w:firstLine="454"/>
        <w:jc w:val="both"/>
        <w:rPr>
          <w:rFonts w:asciiTheme="minorEastAsia" w:hAnsiTheme="minorEastAsia" w:eastAsiaTheme="minorEastAsia"/>
        </w:rPr>
      </w:pPr>
      <w:r>
        <w:rPr>
          <w:rFonts w:hint="eastAsia" w:asciiTheme="minorEastAsia" w:hAnsiTheme="minorEastAsia" w:eastAsiaTheme="minorEastAsia"/>
        </w:rPr>
        <w:t>课程编码：</w:t>
      </w:r>
      <w:r>
        <w:rPr>
          <w:rFonts w:asciiTheme="minorEastAsia" w:hAnsiTheme="minorEastAsia" w:eastAsiaTheme="minorEastAsia"/>
        </w:rPr>
        <w:t>440406024</w:t>
      </w:r>
    </w:p>
    <w:p>
      <w:pPr>
        <w:spacing w:after="0" w:line="240" w:lineRule="auto"/>
        <w:ind w:firstLine="454"/>
        <w:jc w:val="both"/>
        <w:rPr>
          <w:rFonts w:asciiTheme="minorEastAsia" w:hAnsiTheme="minorEastAsia" w:eastAsiaTheme="minorEastAsia"/>
        </w:rPr>
      </w:pPr>
      <w:r>
        <w:rPr>
          <w:rFonts w:hint="eastAsia" w:asciiTheme="minorEastAsia" w:hAnsiTheme="minorEastAsia" w:eastAsiaTheme="minorEastAsia"/>
        </w:rPr>
        <w:t>适用专业：</w:t>
      </w:r>
      <w:bookmarkStart w:id="2" w:name="_Hlk165821079"/>
      <w:r>
        <w:rPr>
          <w:rFonts w:hint="eastAsia" w:asciiTheme="minorEastAsia" w:hAnsiTheme="minorEastAsia" w:eastAsiaTheme="minorEastAsia"/>
        </w:rPr>
        <w:t>建筑消防技术</w:t>
      </w:r>
      <w:bookmarkEnd w:id="2"/>
    </w:p>
    <w:p>
      <w:pPr>
        <w:spacing w:after="0" w:line="240" w:lineRule="auto"/>
        <w:ind w:firstLine="454"/>
        <w:jc w:val="both"/>
        <w:rPr>
          <w:rFonts w:asciiTheme="minorEastAsia" w:hAnsiTheme="minorEastAsia" w:eastAsiaTheme="minorEastAsia"/>
        </w:rPr>
      </w:pPr>
      <w:r>
        <w:rPr>
          <w:rFonts w:hint="eastAsia" w:asciiTheme="minorEastAsia" w:hAnsiTheme="minorEastAsia" w:eastAsiaTheme="minorEastAsia"/>
        </w:rPr>
        <w:t>课程学时：72学时</w:t>
      </w:r>
    </w:p>
    <w:p>
      <w:pPr>
        <w:spacing w:after="0" w:line="240" w:lineRule="auto"/>
        <w:ind w:firstLine="454"/>
        <w:jc w:val="both"/>
        <w:rPr>
          <w:rFonts w:asciiTheme="minorEastAsia" w:hAnsiTheme="minorEastAsia" w:eastAsiaTheme="minorEastAsia"/>
        </w:rPr>
      </w:pPr>
      <w:r>
        <w:rPr>
          <w:rFonts w:hint="eastAsia" w:asciiTheme="minorEastAsia" w:hAnsiTheme="minorEastAsia" w:eastAsiaTheme="minorEastAsia"/>
        </w:rPr>
        <w:t>课程学分：4学分</w:t>
      </w:r>
    </w:p>
    <w:p>
      <w:pPr>
        <w:spacing w:after="0" w:line="240" w:lineRule="auto"/>
        <w:ind w:firstLine="454"/>
        <w:jc w:val="both"/>
        <w:rPr>
          <w:rFonts w:asciiTheme="minorEastAsia" w:hAnsiTheme="minorEastAsia" w:eastAsiaTheme="minorEastAsia"/>
        </w:rPr>
      </w:pPr>
      <w:bookmarkStart w:id="3" w:name="_Toc144476169"/>
      <w:r>
        <w:rPr>
          <w:rFonts w:hint="eastAsia" w:asciiTheme="minorEastAsia" w:hAnsiTheme="minorEastAsia" w:eastAsiaTheme="minorEastAsia"/>
        </w:rPr>
        <w:t>二、课程定位</w:t>
      </w:r>
      <w:bookmarkEnd w:id="3"/>
    </w:p>
    <w:p>
      <w:pPr>
        <w:spacing w:after="0" w:line="240" w:lineRule="auto"/>
        <w:ind w:firstLine="454"/>
        <w:jc w:val="both"/>
        <w:rPr>
          <w:rFonts w:asciiTheme="minorEastAsia" w:hAnsiTheme="minorEastAsia" w:eastAsiaTheme="minorEastAsia"/>
        </w:rPr>
      </w:pPr>
      <w:r>
        <w:rPr>
          <w:rFonts w:hint="eastAsia" w:asciiTheme="minorEastAsia" w:hAnsiTheme="minorEastAsia" w:eastAsiaTheme="minorEastAsia"/>
        </w:rPr>
        <w:t>（一）课程性质</w:t>
      </w:r>
    </w:p>
    <w:p>
      <w:pPr>
        <w:spacing w:after="0" w:line="240" w:lineRule="auto"/>
        <w:ind w:firstLine="454"/>
        <w:jc w:val="both"/>
        <w:rPr>
          <w:rFonts w:asciiTheme="minorEastAsia" w:hAnsiTheme="minorEastAsia" w:eastAsiaTheme="minorEastAsia"/>
        </w:rPr>
      </w:pPr>
      <w:r>
        <w:rPr>
          <w:rFonts w:hint="eastAsia" w:asciiTheme="minorEastAsia" w:hAnsiTheme="minorEastAsia" w:eastAsiaTheme="minorEastAsia"/>
        </w:rPr>
        <w:t>本课程是建筑消防技术专业</w:t>
      </w:r>
      <w:r>
        <w:rPr>
          <w:rFonts w:asciiTheme="minorEastAsia" w:hAnsiTheme="minorEastAsia" w:eastAsiaTheme="minorEastAsia"/>
        </w:rPr>
        <w:t>的必修的专业</w:t>
      </w:r>
      <w:r>
        <w:rPr>
          <w:rFonts w:hint="eastAsia" w:asciiTheme="minorEastAsia" w:hAnsiTheme="minorEastAsia" w:eastAsiaTheme="minorEastAsia"/>
        </w:rPr>
        <w:t>基础</w:t>
      </w:r>
      <w:r>
        <w:rPr>
          <w:rFonts w:asciiTheme="minorEastAsia" w:hAnsiTheme="minorEastAsia" w:eastAsiaTheme="minorEastAsia"/>
        </w:rPr>
        <w:t>课程，旨在培养学生的专业实践能力和职业素养。通过本课程的学习，学生将掌握</w:t>
      </w:r>
      <w:r>
        <w:rPr>
          <w:rFonts w:hint="eastAsia" w:asciiTheme="minorEastAsia" w:hAnsiTheme="minorEastAsia" w:eastAsiaTheme="minorEastAsia"/>
        </w:rPr>
        <w:t>电工技术</w:t>
      </w:r>
      <w:r>
        <w:rPr>
          <w:rFonts w:asciiTheme="minorEastAsia" w:hAnsiTheme="minorEastAsia" w:eastAsiaTheme="minorEastAsia"/>
        </w:rPr>
        <w:t>的基本理论、方法和技能，为未来的职业生涯打下坚实的基础。本课程在专业人才培养中占</w:t>
      </w:r>
      <w:r>
        <w:rPr>
          <w:rFonts w:hint="eastAsia" w:asciiTheme="minorEastAsia" w:hAnsiTheme="minorEastAsia" w:eastAsiaTheme="minorEastAsia"/>
          <w:lang w:val="en-US" w:eastAsia="zh-CN"/>
        </w:rPr>
        <w:t>基础</w:t>
      </w:r>
      <w:r>
        <w:rPr>
          <w:rFonts w:asciiTheme="minorEastAsia" w:hAnsiTheme="minorEastAsia" w:eastAsiaTheme="minorEastAsia"/>
        </w:rPr>
        <w:t>地位，是学生实现职业技能提升和职业素养养成的重要途径。它是连接理论知识与实践应用的桥梁，对于提高学生的实践能力和综合素质具有重要作用。本课程前置课程有</w:t>
      </w:r>
      <w:r>
        <w:rPr>
          <w:rFonts w:hint="eastAsia" w:asciiTheme="minorEastAsia" w:hAnsiTheme="minorEastAsia" w:eastAsiaTheme="minorEastAsia"/>
        </w:rPr>
        <w:t>《计算机辅助设计》《</w:t>
      </w:r>
      <w:r>
        <w:rPr>
          <w:rFonts w:hint="eastAsia" w:cs="宋体"/>
        </w:rPr>
        <w:t>电子技术</w:t>
      </w:r>
      <w:r>
        <w:rPr>
          <w:rFonts w:hint="eastAsia" w:asciiTheme="minorEastAsia" w:hAnsiTheme="minorEastAsia" w:eastAsiaTheme="minorEastAsia"/>
        </w:rPr>
        <w:t>》《</w:t>
      </w:r>
      <w:r>
        <w:rPr>
          <w:rFonts w:hint="eastAsia" w:cs="宋体"/>
        </w:rPr>
        <w:t>建筑识图与构造</w:t>
      </w:r>
      <w:r>
        <w:rPr>
          <w:rFonts w:hint="eastAsia" w:asciiTheme="minorEastAsia" w:hAnsiTheme="minorEastAsia" w:eastAsiaTheme="minorEastAsia"/>
        </w:rPr>
        <w:t>》</w:t>
      </w:r>
      <w:r>
        <w:rPr>
          <w:rFonts w:asciiTheme="minorEastAsia" w:hAnsiTheme="minorEastAsia" w:eastAsiaTheme="minorEastAsia"/>
        </w:rPr>
        <w:t>等，</w:t>
      </w:r>
      <w:r>
        <w:rPr>
          <w:rFonts w:hint="eastAsia" w:asciiTheme="minorEastAsia" w:hAnsiTheme="minorEastAsia" w:eastAsiaTheme="minorEastAsia"/>
        </w:rPr>
        <w:t>本课程后置课程有《</w:t>
      </w:r>
      <w:r>
        <w:rPr>
          <w:rFonts w:hint="eastAsia" w:cs="宋体"/>
        </w:rPr>
        <w:t>消防电气施工技术</w:t>
      </w:r>
      <w:r>
        <w:rPr>
          <w:rFonts w:hint="eastAsia" w:asciiTheme="minorEastAsia" w:hAnsiTheme="minorEastAsia" w:eastAsiaTheme="minorEastAsia"/>
        </w:rPr>
        <w:t>》《</w:t>
      </w:r>
      <w:r>
        <w:rPr>
          <w:rFonts w:hint="eastAsia" w:cs="宋体"/>
        </w:rPr>
        <w:t>消防工程造价</w:t>
      </w:r>
      <w:r>
        <w:rPr>
          <w:rFonts w:hint="eastAsia" w:asciiTheme="minorEastAsia" w:hAnsiTheme="minorEastAsia" w:eastAsiaTheme="minorEastAsia"/>
        </w:rPr>
        <w:t>》《消防管道施工技术》</w:t>
      </w:r>
      <w:r>
        <w:rPr>
          <w:rFonts w:asciiTheme="minorEastAsia" w:hAnsiTheme="minorEastAsia" w:eastAsiaTheme="minorEastAsia"/>
        </w:rPr>
        <w:t>等。通过学习本课程，可以参加相关的职业资格证书考试，</w:t>
      </w:r>
      <w:r>
        <w:rPr>
          <w:rFonts w:hint="eastAsia" w:asciiTheme="minorEastAsia" w:hAnsiTheme="minorEastAsia" w:eastAsiaTheme="minorEastAsia"/>
        </w:rPr>
        <w:t>如</w:t>
      </w:r>
      <w:bookmarkStart w:id="4" w:name="_Hlk165806639"/>
      <w:r>
        <w:rPr>
          <w:rFonts w:hint="eastAsia" w:asciiTheme="minorEastAsia" w:hAnsiTheme="minorEastAsia" w:eastAsiaTheme="minorEastAsia"/>
        </w:rPr>
        <w:t>电工证书、消防工程师、消防安全管理师</w:t>
      </w:r>
      <w:bookmarkEnd w:id="4"/>
      <w:r>
        <w:rPr>
          <w:rFonts w:hint="eastAsia" w:asciiTheme="minorEastAsia" w:hAnsiTheme="minorEastAsia" w:eastAsiaTheme="minorEastAsia"/>
        </w:rPr>
        <w:t>消、消防设施操作员证书等。</w:t>
      </w:r>
    </w:p>
    <w:p>
      <w:pPr>
        <w:spacing w:after="0" w:line="240" w:lineRule="auto"/>
        <w:ind w:firstLine="454"/>
        <w:jc w:val="both"/>
        <w:rPr>
          <w:rFonts w:asciiTheme="minorEastAsia" w:hAnsiTheme="minorEastAsia" w:eastAsiaTheme="minorEastAsia"/>
        </w:rPr>
      </w:pPr>
      <w:r>
        <w:rPr>
          <w:rFonts w:hint="eastAsia" w:asciiTheme="minorEastAsia" w:hAnsiTheme="minorEastAsia" w:eastAsiaTheme="minorEastAsia"/>
        </w:rPr>
        <w:t>（二）课程任务</w:t>
      </w:r>
    </w:p>
    <w:p>
      <w:pPr>
        <w:spacing w:after="0" w:line="240" w:lineRule="auto"/>
        <w:ind w:firstLine="454"/>
        <w:jc w:val="both"/>
        <w:rPr>
          <w:rFonts w:asciiTheme="minorEastAsia" w:hAnsiTheme="minorEastAsia" w:eastAsiaTheme="minorEastAsia"/>
        </w:rPr>
      </w:pPr>
      <w:r>
        <w:rPr>
          <w:rFonts w:hint="eastAsia" w:asciiTheme="minorEastAsia" w:hAnsiTheme="minorEastAsia" w:eastAsiaTheme="minorEastAsia"/>
        </w:rPr>
        <w:t>通过本课程的学习，了解电工技术的基本概念、分类和主要功能，为后续的学习和实践打下坚实基础。电工技术的核心任务在于培养学生掌握电工技术的基本理论和实践技能，并提升他们的项目管理能力。通过课程学习，学生需要深入学习电工技术的基本理论和原理，理解电气控制系统在建筑消防中的重要作用。此外，课程还着重培养学生的团队协作精神和沟通能力，使他们能够在多部门、多团队的协作中高效完成任务。同时，课程注重通过课程学习和实践操作，培养学生解决实际工程问题的能力，使其能够在实际工作中运用所学知识，确保电工技术系统的稳定运行。通过这门课程的学习，学生将有扎实的电工技术知识，为未来的职业生涯奠定坚实的基础，为电工技术领域的发展贡献自己的力量。</w:t>
      </w:r>
    </w:p>
    <w:p>
      <w:pPr>
        <w:spacing w:after="0" w:line="240" w:lineRule="auto"/>
        <w:ind w:firstLine="454"/>
        <w:jc w:val="both"/>
        <w:rPr>
          <w:rFonts w:asciiTheme="minorEastAsia" w:hAnsiTheme="minorEastAsia" w:eastAsiaTheme="minorEastAsia"/>
        </w:rPr>
      </w:pPr>
      <w:bookmarkStart w:id="5" w:name="_Toc144476170"/>
      <w:r>
        <w:rPr>
          <w:rFonts w:hint="eastAsia" w:asciiTheme="minorEastAsia" w:hAnsiTheme="minorEastAsia" w:eastAsiaTheme="minorEastAsia"/>
        </w:rPr>
        <w:t>三、课程设计</w:t>
      </w:r>
      <w:bookmarkEnd w:id="5"/>
    </w:p>
    <w:p>
      <w:pPr>
        <w:spacing w:after="0" w:line="240" w:lineRule="auto"/>
        <w:ind w:firstLine="454"/>
        <w:jc w:val="both"/>
        <w:rPr>
          <w:rFonts w:asciiTheme="minorEastAsia" w:hAnsiTheme="minorEastAsia" w:eastAsiaTheme="minorEastAsia"/>
        </w:rPr>
      </w:pPr>
      <w:r>
        <w:rPr>
          <w:rFonts w:hint="eastAsia" w:asciiTheme="minorEastAsia" w:hAnsiTheme="minorEastAsia" w:eastAsiaTheme="minorEastAsia"/>
        </w:rPr>
        <w:t>（一）设计理念</w:t>
      </w:r>
    </w:p>
    <w:p>
      <w:pPr>
        <w:spacing w:after="0" w:line="240" w:lineRule="auto"/>
        <w:ind w:firstLine="454"/>
        <w:jc w:val="both"/>
        <w:rPr>
          <w:rFonts w:asciiTheme="minorEastAsia" w:hAnsiTheme="minorEastAsia" w:eastAsiaTheme="minorEastAsia"/>
        </w:rPr>
      </w:pPr>
      <w:r>
        <w:rPr>
          <w:rFonts w:hint="eastAsia" w:asciiTheme="minorEastAsia" w:hAnsiTheme="minorEastAsia" w:eastAsiaTheme="minorEastAsia"/>
        </w:rPr>
        <w:t>课程以完成课程学习任务和培养后续课程学习能力为导向，贯彻以下教育教学理念：</w:t>
      </w:r>
    </w:p>
    <w:p>
      <w:pPr>
        <w:spacing w:after="0" w:line="240" w:lineRule="auto"/>
        <w:ind w:firstLine="454"/>
        <w:jc w:val="both"/>
        <w:rPr>
          <w:rFonts w:hint="eastAsia" w:asciiTheme="minorEastAsia" w:hAnsiTheme="minorEastAsia" w:eastAsiaTheme="minorEastAsia"/>
        </w:rPr>
      </w:pPr>
      <w:r>
        <w:rPr>
          <w:rFonts w:hint="eastAsia" w:asciiTheme="minorEastAsia" w:hAnsiTheme="minorEastAsia" w:eastAsiaTheme="minorEastAsia"/>
        </w:rPr>
        <w:t>1.校企合作组织课程重构：与建筑消防相关的政府单位、企事业单位合作，共同组织课程内容重组重构。利用学校和合作机构的资源，共同创设课程实施条件，共建共享型数字化课程教学资源，共同制订学生学习成效考核评价办法，共建双师型课程教学团队；</w:t>
      </w:r>
    </w:p>
    <w:p>
      <w:pPr>
        <w:spacing w:after="0" w:line="240" w:lineRule="auto"/>
        <w:ind w:firstLine="454"/>
        <w:jc w:val="both"/>
        <w:rPr>
          <w:rFonts w:hint="eastAsia" w:asciiTheme="minorEastAsia" w:hAnsiTheme="minorEastAsia" w:eastAsiaTheme="minorEastAsia"/>
        </w:rPr>
      </w:pPr>
      <w:r>
        <w:rPr>
          <w:rFonts w:hint="eastAsia" w:asciiTheme="minorEastAsia" w:hAnsiTheme="minorEastAsia" w:eastAsiaTheme="minorEastAsia"/>
        </w:rPr>
        <w:t>2.典型任务确定课程方案：分析建筑消防技术的典型工作任务，构建工作过程系统化课程方案。通过典型工作任务分析，形成“典型工作任务、岗位职责任务和能力目标分析”结果，以“会什么”的能力为依据选择课程内容，并按照认知能力易难顺序安排教学；</w:t>
      </w:r>
    </w:p>
    <w:p>
      <w:pPr>
        <w:spacing w:after="0" w:line="240" w:lineRule="auto"/>
        <w:ind w:firstLine="454"/>
        <w:jc w:val="both"/>
        <w:rPr>
          <w:rFonts w:hint="eastAsia" w:asciiTheme="minorEastAsia" w:hAnsiTheme="minorEastAsia" w:eastAsiaTheme="minorEastAsia"/>
        </w:rPr>
      </w:pPr>
      <w:r>
        <w:rPr>
          <w:rFonts w:hint="eastAsia" w:asciiTheme="minorEastAsia" w:hAnsiTheme="minorEastAsia" w:eastAsiaTheme="minorEastAsia"/>
        </w:rPr>
        <w:t>3.理实交替实施课程教学：遵循理论联系实际的教学原则，组织理实交替的学习课堂。以教室、实训室/模拟厂房为课堂，以实践为课程学习的支撑点，教学过程与建筑消防工作过程密切结合，使学生具备一定的职业经验、实践知识以及初步理论知识；</w:t>
      </w:r>
    </w:p>
    <w:p>
      <w:pPr>
        <w:spacing w:after="0" w:line="240" w:lineRule="auto"/>
        <w:ind w:firstLine="454"/>
        <w:jc w:val="both"/>
        <w:rPr>
          <w:rFonts w:hint="eastAsia" w:asciiTheme="minorEastAsia" w:hAnsiTheme="minorEastAsia" w:eastAsiaTheme="minorEastAsia"/>
        </w:rPr>
      </w:pPr>
      <w:r>
        <w:rPr>
          <w:rFonts w:hint="eastAsia" w:asciiTheme="minorEastAsia" w:hAnsiTheme="minorEastAsia" w:eastAsiaTheme="minorEastAsia"/>
        </w:rPr>
        <w:t>4.课程目标注重工作任务：建筑消防技术目标聚焦于工作任务的实际应用。学生了解建筑消防技术的核心知识，理解施工流程，并学会制定施工计划。课程强调实践技能的培养，使学生具备解决实际问题的能力。同时，注重团队协作与沟通能力的培养，以适应多部门协作的施工环境。通过课程学习，学生能够胜任建筑消防技术工作，为消防安全事业贡献力量；</w:t>
      </w:r>
    </w:p>
    <w:p>
      <w:pPr>
        <w:spacing w:after="0" w:line="240" w:lineRule="auto"/>
        <w:ind w:firstLine="454"/>
        <w:jc w:val="both"/>
        <w:rPr>
          <w:rFonts w:asciiTheme="minorEastAsia" w:hAnsiTheme="minorEastAsia" w:eastAsiaTheme="minorEastAsia"/>
        </w:rPr>
      </w:pPr>
      <w:r>
        <w:rPr>
          <w:rFonts w:hint="eastAsia" w:asciiTheme="minorEastAsia" w:hAnsiTheme="minorEastAsia" w:eastAsiaTheme="minorEastAsia"/>
        </w:rPr>
        <w:t>5.项目工作引领情境学习：以具有挑战性并促使工作能力提高的项目工作任务为导向，精心创设学习情境。有针对性设计学习与工作合为一体的课程学习环节，注重学生学习者角色，在完成项目任务的过程中，实现理论、实践一体化学习和相关学科知识一体化学习。</w:t>
      </w:r>
    </w:p>
    <w:p>
      <w:pPr>
        <w:spacing w:after="0" w:line="240" w:lineRule="auto"/>
        <w:ind w:firstLine="454"/>
        <w:jc w:val="both"/>
        <w:rPr>
          <w:rFonts w:asciiTheme="minorEastAsia" w:hAnsiTheme="minorEastAsia" w:eastAsiaTheme="minorEastAsia"/>
        </w:rPr>
      </w:pPr>
      <w:r>
        <w:rPr>
          <w:rFonts w:hint="eastAsia" w:asciiTheme="minorEastAsia" w:hAnsiTheme="minorEastAsia" w:eastAsiaTheme="minorEastAsia"/>
        </w:rPr>
        <w:t>（二）设计思路</w:t>
      </w:r>
    </w:p>
    <w:p>
      <w:pPr>
        <w:spacing w:after="0" w:line="240" w:lineRule="auto"/>
        <w:ind w:firstLine="454"/>
        <w:jc w:val="both"/>
        <w:rPr>
          <w:rFonts w:asciiTheme="minorEastAsia" w:hAnsiTheme="minorEastAsia" w:eastAsiaTheme="minorEastAsia"/>
        </w:rPr>
      </w:pPr>
      <w:bookmarkStart w:id="6" w:name="_Toc144476171"/>
      <w:r>
        <w:rPr>
          <w:rFonts w:hint="eastAsia" w:asciiTheme="minorEastAsia" w:hAnsiTheme="minorEastAsia" w:eastAsiaTheme="minorEastAsia"/>
        </w:rPr>
        <w:t>课程依据上述设计理念，按照以下设计思路组织课程教学内容：</w:t>
      </w:r>
    </w:p>
    <w:p>
      <w:pPr>
        <w:spacing w:after="0" w:line="240" w:lineRule="auto"/>
        <w:ind w:firstLine="454"/>
        <w:rPr>
          <w:rFonts w:asciiTheme="minorEastAsia" w:hAnsiTheme="minorEastAsia" w:eastAsiaTheme="minorEastAsia"/>
        </w:rPr>
      </w:pPr>
      <w:r>
        <w:rPr>
          <w:rFonts w:asciiTheme="minorEastAsia" w:hAnsiTheme="minorEastAsia" w:eastAsiaTheme="minorEastAsia"/>
        </w:rPr>
        <w:t>1.校企合作组织课程重构：与建筑消防相关的政府单位、企事业单位合作，共同组织课程内容重组重构。利用学校和合作机构的资源，共同创设课程实施条件，共建共享型数字化课程教学资源，共同制订学生学习成效考核评价办法，共建双师型课程教学团队；</w:t>
      </w:r>
    </w:p>
    <w:p>
      <w:pPr>
        <w:spacing w:after="0" w:line="240" w:lineRule="auto"/>
        <w:ind w:firstLine="454"/>
        <w:rPr>
          <w:rFonts w:asciiTheme="minorEastAsia" w:hAnsiTheme="minorEastAsia" w:eastAsiaTheme="minorEastAsia"/>
        </w:rPr>
      </w:pPr>
      <w:r>
        <w:rPr>
          <w:rFonts w:asciiTheme="minorEastAsia" w:hAnsiTheme="minorEastAsia" w:eastAsiaTheme="minorEastAsia"/>
        </w:rPr>
        <w:t>2.典型任务确定课程方案：分析建筑消防技术的典型工作任务，构建工作过程系统化课程方案。通过典型工作任务分析，形成“典型工作任务、岗位职责任务和能力目标分析”结果，以“会什么”的能力为依据选择课程内容，并按照认知能力易难顺序安排教学；</w:t>
      </w:r>
    </w:p>
    <w:p>
      <w:pPr>
        <w:spacing w:after="0" w:line="240" w:lineRule="auto"/>
        <w:ind w:firstLine="454"/>
        <w:rPr>
          <w:rFonts w:asciiTheme="minorEastAsia" w:hAnsiTheme="minorEastAsia" w:eastAsiaTheme="minorEastAsia"/>
        </w:rPr>
      </w:pPr>
      <w:r>
        <w:rPr>
          <w:rFonts w:asciiTheme="minorEastAsia" w:hAnsiTheme="minorEastAsia" w:eastAsiaTheme="minorEastAsia"/>
        </w:rPr>
        <w:t>3.理实交替实施课程教学：遵循理论联系实际的教学原则，组织理实交替的学习课堂。以教室、实训室/模拟厂房为课堂，以实践为课程学习的支撑点，教学过程与</w:t>
      </w:r>
      <w:r>
        <w:rPr>
          <w:rFonts w:hint="eastAsia" w:asciiTheme="minorEastAsia" w:hAnsiTheme="minorEastAsia" w:eastAsiaTheme="minorEastAsia"/>
        </w:rPr>
        <w:t>电工技术</w:t>
      </w:r>
    </w:p>
    <w:p>
      <w:pPr>
        <w:spacing w:after="0" w:line="240" w:lineRule="auto"/>
        <w:ind w:firstLine="0" w:firstLineChars="0"/>
        <w:rPr>
          <w:rFonts w:asciiTheme="minorEastAsia" w:hAnsiTheme="minorEastAsia" w:eastAsiaTheme="minorEastAsia"/>
        </w:rPr>
      </w:pPr>
      <w:r>
        <w:rPr>
          <w:rFonts w:asciiTheme="minorEastAsia" w:hAnsiTheme="minorEastAsia" w:eastAsiaTheme="minorEastAsia"/>
        </w:rPr>
        <w:t>工作过程密切结合，使学生具备一定的职业经验、实践知识以及初步理论知识；</w:t>
      </w:r>
    </w:p>
    <w:p>
      <w:pPr>
        <w:spacing w:after="0" w:line="240" w:lineRule="auto"/>
        <w:ind w:firstLine="454"/>
        <w:rPr>
          <w:rFonts w:asciiTheme="minorEastAsia" w:hAnsiTheme="minorEastAsia" w:eastAsiaTheme="minorEastAsia"/>
        </w:rPr>
      </w:pPr>
      <w:r>
        <w:rPr>
          <w:rFonts w:asciiTheme="minorEastAsia" w:hAnsiTheme="minorEastAsia" w:eastAsiaTheme="minorEastAsia"/>
        </w:rPr>
        <w:t>4.课程目标注重工作任务：</w:t>
      </w:r>
      <w:r>
        <w:rPr>
          <w:rFonts w:hint="eastAsia" w:asciiTheme="minorEastAsia" w:hAnsiTheme="minorEastAsia" w:eastAsiaTheme="minorEastAsia"/>
        </w:rPr>
        <w:t>电工技术</w:t>
      </w:r>
      <w:r>
        <w:rPr>
          <w:rFonts w:asciiTheme="minorEastAsia" w:hAnsiTheme="minorEastAsia" w:eastAsiaTheme="minorEastAsia"/>
        </w:rPr>
        <w:t>目标聚焦于工作任务的实际应用。学生了解</w:t>
      </w:r>
      <w:r>
        <w:rPr>
          <w:rFonts w:hint="eastAsia" w:asciiTheme="minorEastAsia" w:hAnsiTheme="minorEastAsia" w:eastAsiaTheme="minorEastAsia"/>
        </w:rPr>
        <w:t>电工技术</w:t>
      </w:r>
      <w:r>
        <w:rPr>
          <w:rFonts w:asciiTheme="minorEastAsia" w:hAnsiTheme="minorEastAsia" w:eastAsiaTheme="minorEastAsia"/>
        </w:rPr>
        <w:t>的核心知识，理解施工流程，并学会制定施工计划。课程强调实践技能的培养，使学生具备解决实际问题的能力。同时，注重团队协作与沟通能力的培养，以适应多部门协作的施工环境。通过课程学习，学生能够胜任</w:t>
      </w:r>
      <w:r>
        <w:rPr>
          <w:rFonts w:hint="eastAsia" w:asciiTheme="minorEastAsia" w:hAnsiTheme="minorEastAsia" w:eastAsiaTheme="minorEastAsia"/>
        </w:rPr>
        <w:t>电工技术</w:t>
      </w:r>
      <w:r>
        <w:rPr>
          <w:rFonts w:asciiTheme="minorEastAsia" w:hAnsiTheme="minorEastAsia" w:eastAsiaTheme="minorEastAsia"/>
        </w:rPr>
        <w:t>工作，为消防安全事业贡献力量；</w:t>
      </w:r>
    </w:p>
    <w:p>
      <w:pPr>
        <w:spacing w:after="0" w:line="240" w:lineRule="auto"/>
        <w:ind w:firstLine="454"/>
        <w:rPr>
          <w:rFonts w:asciiTheme="minorEastAsia" w:hAnsiTheme="minorEastAsia" w:eastAsiaTheme="minorEastAsia"/>
        </w:rPr>
      </w:pPr>
      <w:r>
        <w:rPr>
          <w:rFonts w:asciiTheme="minorEastAsia" w:hAnsiTheme="minorEastAsia" w:eastAsiaTheme="minorEastAsia"/>
        </w:rPr>
        <w:t>5.项目工作引领情境学习：以具有挑战性并促使工作能力提高的项目工作任务为导向，精心创设学习情境。有针对性设计学习与工作合为一体的课程学习环节，注重学生学习者角色，在完成项目任务的过程中，实现理论、实践一体化学习和相关学科知识一体化学习。</w:t>
      </w:r>
    </w:p>
    <w:p>
      <w:pPr>
        <w:spacing w:after="0" w:line="240" w:lineRule="auto"/>
        <w:ind w:firstLine="454"/>
        <w:rPr>
          <w:rFonts w:asciiTheme="minorEastAsia" w:hAnsiTheme="minorEastAsia" w:eastAsiaTheme="minorEastAsia"/>
        </w:rPr>
      </w:pPr>
      <w:r>
        <w:rPr>
          <w:rFonts w:hint="eastAsia" w:asciiTheme="minorEastAsia" w:hAnsiTheme="minorEastAsia" w:eastAsiaTheme="minorEastAsia"/>
        </w:rPr>
        <w:t>四、课程目标</w:t>
      </w:r>
      <w:bookmarkEnd w:id="6"/>
    </w:p>
    <w:p>
      <w:pPr>
        <w:spacing w:after="0" w:line="240" w:lineRule="auto"/>
        <w:ind w:firstLine="454"/>
        <w:jc w:val="both"/>
        <w:rPr>
          <w:rFonts w:asciiTheme="minorEastAsia" w:hAnsiTheme="minorEastAsia" w:eastAsiaTheme="minorEastAsia"/>
        </w:rPr>
      </w:pPr>
      <w:r>
        <w:rPr>
          <w:rFonts w:hint="eastAsia" w:asciiTheme="minorEastAsia" w:hAnsiTheme="minorEastAsia" w:eastAsiaTheme="minorEastAsia"/>
        </w:rPr>
        <w:t>（一）总体目标</w:t>
      </w:r>
    </w:p>
    <w:p>
      <w:pPr>
        <w:spacing w:after="0" w:line="240" w:lineRule="auto"/>
        <w:ind w:firstLine="454"/>
        <w:jc w:val="both"/>
        <w:rPr>
          <w:rFonts w:asciiTheme="minorEastAsia" w:hAnsiTheme="minorEastAsia" w:eastAsiaTheme="minorEastAsia"/>
        </w:rPr>
      </w:pPr>
      <w:r>
        <w:rPr>
          <w:rFonts w:hint="eastAsia" w:asciiTheme="minorEastAsia" w:hAnsiTheme="minorEastAsia" w:eastAsiaTheme="minorEastAsia"/>
        </w:rPr>
        <w:t>电工技术课程的总体目标在于培养具备专业知识和技能的人才，以高效、安全、质量可控的方式组织和电工技术过程。首先，课程致力于使学生深入理解电工技术的基本理论、技术方法和行业规范，为后续的实践活动提供坚实的理论支撑。其次，课程强调实践操作能力的培养，通过模拟实际施工场景，使学生能够熟练运用所学知识解决实际问题，提升电工技术的实践能力。此外，课程还注重培养学生的团队协作和沟通能力，以适应电工技术中多部门、多工种协同作战的特点。最后，课程的目标还包括培养学生的创新意识和持续改进的精神，以应对不断变化的施工环境和挑战。</w:t>
      </w:r>
    </w:p>
    <w:p>
      <w:pPr>
        <w:widowControl/>
        <w:shd w:val="clear" w:color="auto" w:fill="FDFDFE"/>
        <w:spacing w:after="0" w:line="240" w:lineRule="auto"/>
        <w:ind w:left="-38" w:leftChars="-17" w:firstLine="454"/>
        <w:jc w:val="both"/>
        <w:rPr>
          <w:rFonts w:asciiTheme="minorEastAsia" w:hAnsiTheme="minorEastAsia" w:eastAsiaTheme="minorEastAsia"/>
        </w:rPr>
      </w:pPr>
      <w:r>
        <w:rPr>
          <w:rFonts w:hint="eastAsia" w:asciiTheme="minorEastAsia" w:hAnsiTheme="minorEastAsia" w:eastAsiaTheme="minorEastAsia"/>
        </w:rPr>
        <w:t>（二）具体目标</w:t>
      </w:r>
    </w:p>
    <w:p>
      <w:pPr>
        <w:spacing w:after="0" w:line="240" w:lineRule="auto"/>
        <w:ind w:firstLine="454"/>
        <w:jc w:val="both"/>
        <w:rPr>
          <w:rFonts w:asciiTheme="minorEastAsia" w:hAnsiTheme="minorEastAsia" w:eastAsiaTheme="minorEastAsia"/>
        </w:rPr>
      </w:pPr>
      <w:r>
        <w:rPr>
          <w:rFonts w:hint="eastAsia" w:asciiTheme="minorEastAsia" w:hAnsiTheme="minorEastAsia" w:eastAsiaTheme="minorEastAsia"/>
        </w:rPr>
        <w:t>1.素质目标：通过课程学习，使学生逐渐养成以下情感、态度和价值观：</w:t>
      </w:r>
    </w:p>
    <w:p>
      <w:pPr>
        <w:keepNext w:val="0"/>
        <w:keepLines w:val="0"/>
        <w:pageBreakBefore w:val="0"/>
        <w:widowControl w:val="0"/>
        <w:kinsoku/>
        <w:wordWrap/>
        <w:overflowPunct/>
        <w:topLinePunct w:val="0"/>
        <w:autoSpaceDE/>
        <w:autoSpaceDN/>
        <w:bidi w:val="0"/>
        <w:adjustRightInd/>
        <w:snapToGrid/>
        <w:spacing w:after="0" w:line="240" w:lineRule="auto"/>
        <w:ind w:firstLine="456" w:firstLineChars="200"/>
        <w:jc w:val="both"/>
        <w:textAlignment w:val="auto"/>
        <w:rPr>
          <w:rFonts w:asciiTheme="minorEastAsia" w:hAnsiTheme="minorEastAsia" w:eastAsiaTheme="minorEastAsia"/>
        </w:rPr>
      </w:pPr>
      <w:r>
        <w:rPr>
          <w:rFonts w:hint="eastAsia" w:asciiTheme="minorEastAsia" w:hAnsiTheme="minorEastAsia" w:eastAsiaTheme="minorEastAsia"/>
        </w:rPr>
        <w:t>（1）坚定拥护中国共产党领导，在习近平新时代中国特色社会主义思想指引下，实现社会主义核心价值观，具有深厚的爱国情感和中华民族自豪感；</w:t>
      </w:r>
    </w:p>
    <w:p>
      <w:pPr>
        <w:keepNext w:val="0"/>
        <w:keepLines w:val="0"/>
        <w:pageBreakBefore w:val="0"/>
        <w:widowControl w:val="0"/>
        <w:kinsoku/>
        <w:wordWrap/>
        <w:overflowPunct/>
        <w:topLinePunct w:val="0"/>
        <w:autoSpaceDE/>
        <w:autoSpaceDN/>
        <w:bidi w:val="0"/>
        <w:adjustRightInd/>
        <w:snapToGrid/>
        <w:spacing w:after="0" w:line="240" w:lineRule="auto"/>
        <w:ind w:firstLine="456" w:firstLineChars="200"/>
        <w:jc w:val="both"/>
        <w:textAlignment w:val="auto"/>
        <w:rPr>
          <w:rFonts w:asciiTheme="minorEastAsia" w:hAnsiTheme="minorEastAsia" w:eastAsiaTheme="minorEastAsia"/>
        </w:rPr>
      </w:pPr>
      <w:r>
        <w:rPr>
          <w:rFonts w:hint="eastAsia" w:asciiTheme="minorEastAsia" w:hAnsiTheme="minorEastAsia" w:eastAsiaTheme="minorEastAsia"/>
        </w:rPr>
        <w:t>（2）崇尚宪法、遵法守纪、崇德向善、诚实守信、尊重生命、热爱劳动，履行道德准则和行为规范，具有社会责任感和社会参与意识；</w:t>
      </w:r>
    </w:p>
    <w:p>
      <w:pPr>
        <w:keepNext w:val="0"/>
        <w:keepLines w:val="0"/>
        <w:pageBreakBefore w:val="0"/>
        <w:widowControl w:val="0"/>
        <w:kinsoku/>
        <w:wordWrap/>
        <w:overflowPunct/>
        <w:topLinePunct w:val="0"/>
        <w:autoSpaceDE/>
        <w:autoSpaceDN/>
        <w:bidi w:val="0"/>
        <w:adjustRightInd/>
        <w:snapToGrid/>
        <w:spacing w:after="0" w:line="240" w:lineRule="auto"/>
        <w:ind w:firstLine="456" w:firstLineChars="200"/>
        <w:jc w:val="both"/>
        <w:textAlignment w:val="auto"/>
        <w:rPr>
          <w:rFonts w:hint="eastAsia" w:asciiTheme="minorEastAsia" w:hAnsiTheme="minorEastAsia" w:eastAsiaTheme="minorEastAsia"/>
          <w:lang w:eastAsia="zh-CN"/>
        </w:rPr>
      </w:pPr>
      <w:r>
        <w:rPr>
          <w:rFonts w:hint="eastAsia" w:asciiTheme="minorEastAsia" w:hAnsiTheme="minorEastAsia" w:eastAsiaTheme="minorEastAsia"/>
        </w:rPr>
        <w:t>（3）培养质量意识、环保意识、安全意识、信息素养、工匠精神、创新思维</w:t>
      </w:r>
      <w:r>
        <w:rPr>
          <w:rFonts w:hint="eastAsia" w:asciiTheme="minorEastAsia" w:hAnsiTheme="minorEastAsia" w:eastAsiaTheme="minorEastAsia"/>
          <w:lang w:eastAsia="zh-CN"/>
        </w:rPr>
        <w:t>；</w:t>
      </w:r>
    </w:p>
    <w:p>
      <w:pPr>
        <w:keepNext w:val="0"/>
        <w:keepLines w:val="0"/>
        <w:pageBreakBefore w:val="0"/>
        <w:widowControl w:val="0"/>
        <w:kinsoku/>
        <w:wordWrap/>
        <w:overflowPunct/>
        <w:topLinePunct w:val="0"/>
        <w:autoSpaceDE/>
        <w:autoSpaceDN/>
        <w:bidi w:val="0"/>
        <w:adjustRightInd/>
        <w:snapToGrid/>
        <w:spacing w:after="0" w:line="240" w:lineRule="auto"/>
        <w:ind w:firstLine="456" w:firstLineChars="200"/>
        <w:jc w:val="both"/>
        <w:textAlignment w:val="auto"/>
        <w:rPr>
          <w:rFonts w:hint="eastAsia" w:asciiTheme="minorEastAsia" w:hAnsiTheme="minorEastAsia" w:eastAsiaTheme="minorEastAsia"/>
          <w:lang w:eastAsia="zh-CN"/>
        </w:rPr>
      </w:pPr>
      <w:r>
        <w:rPr>
          <w:rFonts w:hint="eastAsia" w:asciiTheme="minorEastAsia" w:hAnsiTheme="minorEastAsia" w:eastAsiaTheme="minorEastAsia"/>
        </w:rPr>
        <w:t>（4）培养勇于奋斗、乐观向上</w:t>
      </w:r>
      <w:r>
        <w:rPr>
          <w:rFonts w:hint="eastAsia" w:asciiTheme="minorEastAsia" w:hAnsiTheme="minorEastAsia" w:eastAsiaTheme="minorEastAsia"/>
          <w:lang w:val="en-US" w:eastAsia="zh-CN"/>
        </w:rPr>
        <w:t>的精神</w:t>
      </w:r>
      <w:r>
        <w:rPr>
          <w:rFonts w:hint="eastAsia" w:asciiTheme="minorEastAsia" w:hAnsiTheme="minorEastAsia" w:eastAsiaTheme="minorEastAsia"/>
        </w:rPr>
        <w:t>，具有自我管理能力、职业生涯规划的意识，有较强的集体意识和团队合作精神</w:t>
      </w:r>
      <w:r>
        <w:rPr>
          <w:rFonts w:hint="eastAsia" w:asciiTheme="minorEastAsia" w:hAnsiTheme="minorEastAsia" w:eastAsiaTheme="minorEastAsia"/>
          <w:lang w:eastAsia="zh-CN"/>
        </w:rPr>
        <w:t>；</w:t>
      </w:r>
    </w:p>
    <w:p>
      <w:pPr>
        <w:pStyle w:val="2"/>
        <w:keepNext w:val="0"/>
        <w:keepLines w:val="0"/>
        <w:pageBreakBefore w:val="0"/>
        <w:widowControl w:val="0"/>
        <w:kinsoku/>
        <w:wordWrap/>
        <w:overflowPunct/>
        <w:topLinePunct w:val="0"/>
        <w:autoSpaceDE/>
        <w:autoSpaceDN/>
        <w:bidi w:val="0"/>
        <w:adjustRightInd/>
        <w:snapToGrid/>
        <w:ind w:firstLine="496" w:firstLineChars="200"/>
        <w:textAlignment w:val="auto"/>
        <w:rPr>
          <w:rFonts w:hint="eastAsia"/>
          <w:lang w:eastAsia="zh-CN"/>
        </w:rPr>
      </w:pPr>
      <w:r>
        <w:rPr>
          <w:rFonts w:hint="eastAsia"/>
          <w:lang w:eastAsia="zh-CN"/>
        </w:rPr>
        <w:t>（</w:t>
      </w:r>
      <w:r>
        <w:rPr>
          <w:rFonts w:hint="eastAsia"/>
          <w:lang w:val="en-US" w:eastAsia="zh-CN"/>
        </w:rPr>
        <w:t>5</w:t>
      </w:r>
      <w:r>
        <w:rPr>
          <w:rFonts w:hint="eastAsia"/>
          <w:lang w:eastAsia="zh-CN"/>
        </w:rPr>
        <w:t>）具有辩证思维和逻辑分析的意识和能力，科学务实的工作作风，能够理论联系实际；</w:t>
      </w:r>
    </w:p>
    <w:p>
      <w:pPr>
        <w:pStyle w:val="2"/>
        <w:keepNext w:val="0"/>
        <w:keepLines w:val="0"/>
        <w:pageBreakBefore w:val="0"/>
        <w:widowControl w:val="0"/>
        <w:kinsoku/>
        <w:wordWrap/>
        <w:overflowPunct/>
        <w:topLinePunct w:val="0"/>
        <w:autoSpaceDE/>
        <w:autoSpaceDN/>
        <w:bidi w:val="0"/>
        <w:adjustRightInd/>
        <w:snapToGrid/>
        <w:ind w:firstLine="496" w:firstLineChars="200"/>
        <w:textAlignment w:val="auto"/>
        <w:rPr>
          <w:rFonts w:hint="eastAsia"/>
          <w:lang w:eastAsia="zh-CN"/>
        </w:rPr>
      </w:pPr>
      <w:r>
        <w:rPr>
          <w:rFonts w:hint="eastAsia"/>
          <w:lang w:eastAsia="zh-CN"/>
        </w:rPr>
        <w:t>（</w:t>
      </w:r>
      <w:r>
        <w:rPr>
          <w:rFonts w:hint="eastAsia"/>
          <w:lang w:val="en-US" w:eastAsia="zh-CN"/>
        </w:rPr>
        <w:t>6</w:t>
      </w:r>
      <w:r>
        <w:rPr>
          <w:rFonts w:hint="eastAsia"/>
          <w:lang w:eastAsia="zh-CN"/>
        </w:rPr>
        <w:t>）具有工程质量意识和工作规范意识以及严谨、认真的工作态度；</w:t>
      </w:r>
    </w:p>
    <w:p>
      <w:pPr>
        <w:pStyle w:val="2"/>
        <w:keepNext w:val="0"/>
        <w:keepLines w:val="0"/>
        <w:pageBreakBefore w:val="0"/>
        <w:widowControl w:val="0"/>
        <w:kinsoku/>
        <w:wordWrap/>
        <w:overflowPunct/>
        <w:topLinePunct w:val="0"/>
        <w:autoSpaceDE/>
        <w:autoSpaceDN/>
        <w:bidi w:val="0"/>
        <w:adjustRightInd/>
        <w:snapToGrid/>
        <w:ind w:firstLine="496" w:firstLineChars="200"/>
        <w:textAlignment w:val="auto"/>
        <w:rPr>
          <w:rFonts w:hint="eastAsia"/>
          <w:lang w:eastAsia="zh-CN"/>
        </w:rPr>
      </w:pPr>
      <w:r>
        <w:rPr>
          <w:rFonts w:hint="eastAsia"/>
          <w:lang w:eastAsia="zh-CN"/>
        </w:rPr>
        <w:t>（</w:t>
      </w:r>
      <w:r>
        <w:rPr>
          <w:rFonts w:hint="eastAsia"/>
          <w:lang w:val="en-US" w:eastAsia="zh-CN"/>
        </w:rPr>
        <w:t>7</w:t>
      </w:r>
      <w:r>
        <w:rPr>
          <w:rFonts w:hint="eastAsia"/>
          <w:lang w:eastAsia="zh-CN"/>
        </w:rPr>
        <w:t>）具备吃苦耐劳、勇于创新的精神。</w:t>
      </w:r>
    </w:p>
    <w:p>
      <w:pPr>
        <w:spacing w:after="0" w:line="240" w:lineRule="auto"/>
        <w:ind w:firstLine="454"/>
        <w:jc w:val="both"/>
        <w:rPr>
          <w:rFonts w:asciiTheme="minorEastAsia" w:hAnsiTheme="minorEastAsia" w:eastAsiaTheme="minorEastAsia"/>
        </w:rPr>
      </w:pPr>
      <w:r>
        <w:rPr>
          <w:rFonts w:hint="eastAsia" w:asciiTheme="minorEastAsia" w:hAnsiTheme="minorEastAsia" w:eastAsiaTheme="minorEastAsia"/>
        </w:rPr>
        <w:t>2.知识目标：通过课程学习，使学生逐渐具备以下知识和认知：</w:t>
      </w:r>
    </w:p>
    <w:p>
      <w:pPr>
        <w:spacing w:after="0" w:line="240" w:lineRule="auto"/>
        <w:ind w:firstLine="454"/>
        <w:jc w:val="both"/>
        <w:rPr>
          <w:rFonts w:hint="eastAsia" w:asciiTheme="minorEastAsia" w:hAnsiTheme="minorEastAsia" w:eastAsiaTheme="minorEastAsia"/>
        </w:rPr>
      </w:pPr>
      <w:r>
        <w:rPr>
          <w:rFonts w:hint="eastAsia" w:asciiTheme="minorEastAsia" w:hAnsiTheme="minorEastAsia" w:eastAsiaTheme="minorEastAsia"/>
        </w:rPr>
        <w:t>（1）能熟练应用电路变量的参考方向求功率和判定点位高低；</w:t>
      </w:r>
    </w:p>
    <w:p>
      <w:pPr>
        <w:spacing w:after="0" w:line="240" w:lineRule="auto"/>
        <w:ind w:firstLine="454"/>
        <w:jc w:val="both"/>
        <w:rPr>
          <w:rFonts w:hint="eastAsia" w:asciiTheme="minorEastAsia" w:hAnsiTheme="minorEastAsia" w:eastAsiaTheme="minorEastAsia"/>
        </w:rPr>
      </w:pPr>
      <w:r>
        <w:rPr>
          <w:rFonts w:hint="eastAsia" w:asciiTheme="minorEastAsia" w:hAnsiTheme="minorEastAsia" w:eastAsiaTheme="minorEastAsia"/>
        </w:rPr>
        <w:t>（2）能利用电流源、电压源的特性和电路的定理和方法熟练分析基本直流电路；</w:t>
      </w:r>
    </w:p>
    <w:p>
      <w:pPr>
        <w:spacing w:after="0" w:line="240" w:lineRule="auto"/>
        <w:ind w:firstLine="454"/>
        <w:jc w:val="both"/>
        <w:rPr>
          <w:rFonts w:hint="eastAsia" w:asciiTheme="minorEastAsia" w:hAnsiTheme="minorEastAsia" w:eastAsiaTheme="minorEastAsia"/>
        </w:rPr>
      </w:pPr>
      <w:r>
        <w:rPr>
          <w:rFonts w:hint="eastAsia" w:asciiTheme="minorEastAsia" w:hAnsiTheme="minorEastAsia" w:eastAsiaTheme="minorEastAsia"/>
        </w:rPr>
        <w:t>（3）会用正弦交流电的三要素正确描述和区分交流电的特性；</w:t>
      </w:r>
    </w:p>
    <w:p>
      <w:pPr>
        <w:spacing w:after="0" w:line="240" w:lineRule="auto"/>
        <w:ind w:firstLine="454"/>
        <w:jc w:val="both"/>
        <w:rPr>
          <w:rFonts w:hint="eastAsia" w:asciiTheme="minorEastAsia" w:hAnsiTheme="minorEastAsia" w:eastAsiaTheme="minorEastAsia"/>
        </w:rPr>
      </w:pPr>
      <w:r>
        <w:rPr>
          <w:rFonts w:hint="eastAsia" w:asciiTheme="minorEastAsia" w:hAnsiTheme="minorEastAsia" w:eastAsiaTheme="minorEastAsia"/>
        </w:rPr>
        <w:t>（4）能够简单分析并解决电路功率因数的提高问题；</w:t>
      </w:r>
    </w:p>
    <w:p>
      <w:pPr>
        <w:spacing w:after="0" w:line="240" w:lineRule="auto"/>
        <w:ind w:firstLine="454"/>
        <w:jc w:val="both"/>
        <w:rPr>
          <w:rFonts w:hint="eastAsia" w:asciiTheme="minorEastAsia" w:hAnsiTheme="minorEastAsia" w:eastAsiaTheme="minorEastAsia"/>
        </w:rPr>
      </w:pPr>
      <w:r>
        <w:rPr>
          <w:rFonts w:hint="eastAsia" w:asciiTheme="minorEastAsia" w:hAnsiTheme="minorEastAsia" w:eastAsiaTheme="minorEastAsia"/>
        </w:rPr>
        <w:t>（5）能够熟练分析三相对称电路的联结形式并简单计算对称负载及其他物理量；</w:t>
      </w:r>
    </w:p>
    <w:p>
      <w:pPr>
        <w:spacing w:after="0" w:line="240" w:lineRule="auto"/>
        <w:ind w:firstLine="454"/>
        <w:jc w:val="both"/>
        <w:rPr>
          <w:rFonts w:hint="eastAsia" w:asciiTheme="minorEastAsia" w:hAnsiTheme="minorEastAsia" w:eastAsiaTheme="minorEastAsia"/>
        </w:rPr>
      </w:pPr>
      <w:r>
        <w:rPr>
          <w:rFonts w:hint="eastAsia" w:asciiTheme="minorEastAsia" w:hAnsiTheme="minorEastAsia" w:eastAsiaTheme="minorEastAsia"/>
        </w:rPr>
        <w:t>（6）能够用磁路的基本定律分析各类变压器的用途和运行情况；</w:t>
      </w:r>
    </w:p>
    <w:p>
      <w:pPr>
        <w:spacing w:after="0" w:line="240" w:lineRule="auto"/>
        <w:ind w:firstLine="454"/>
        <w:jc w:val="both"/>
        <w:rPr>
          <w:rFonts w:hint="eastAsia" w:asciiTheme="minorEastAsia" w:hAnsiTheme="minorEastAsia" w:eastAsiaTheme="minorEastAsia"/>
        </w:rPr>
      </w:pPr>
      <w:r>
        <w:rPr>
          <w:rFonts w:hint="eastAsia" w:asciiTheme="minorEastAsia" w:hAnsiTheme="minorEastAsia" w:eastAsiaTheme="minorEastAsia"/>
        </w:rPr>
        <w:t>（7）能简单进行三相变压器的联结和维护；</w:t>
      </w:r>
    </w:p>
    <w:p>
      <w:pPr>
        <w:spacing w:after="0" w:line="240" w:lineRule="auto"/>
        <w:ind w:firstLine="454"/>
        <w:jc w:val="both"/>
        <w:rPr>
          <w:rFonts w:hint="eastAsia" w:asciiTheme="minorEastAsia" w:hAnsiTheme="minorEastAsia" w:eastAsiaTheme="minorEastAsia"/>
        </w:rPr>
      </w:pPr>
      <w:r>
        <w:rPr>
          <w:rFonts w:hint="eastAsia" w:asciiTheme="minorEastAsia" w:hAnsiTheme="minorEastAsia" w:eastAsiaTheme="minorEastAsia"/>
        </w:rPr>
        <w:t>（8）能正确区分常见异步电动机的类型和用途；</w:t>
      </w:r>
    </w:p>
    <w:p>
      <w:pPr>
        <w:spacing w:after="0" w:line="240" w:lineRule="auto"/>
        <w:ind w:firstLine="454"/>
        <w:jc w:val="both"/>
        <w:rPr>
          <w:rFonts w:hint="eastAsia" w:asciiTheme="minorEastAsia" w:hAnsiTheme="minorEastAsia" w:eastAsiaTheme="minorEastAsia"/>
        </w:rPr>
      </w:pPr>
      <w:r>
        <w:rPr>
          <w:rFonts w:hint="eastAsia" w:asciiTheme="minorEastAsia" w:hAnsiTheme="minorEastAsia" w:eastAsiaTheme="minorEastAsia"/>
        </w:rPr>
        <w:t>（9）能熟悉常用电机、电器的特点及有关运行性能，并能简单选择并使用；</w:t>
      </w:r>
    </w:p>
    <w:p>
      <w:pPr>
        <w:spacing w:after="0" w:line="240" w:lineRule="auto"/>
        <w:ind w:firstLine="454"/>
        <w:jc w:val="both"/>
        <w:rPr>
          <w:rFonts w:hint="eastAsia" w:asciiTheme="minorEastAsia" w:hAnsiTheme="minorEastAsia" w:eastAsiaTheme="minorEastAsia"/>
        </w:rPr>
      </w:pPr>
      <w:r>
        <w:rPr>
          <w:rFonts w:hint="eastAsia" w:asciiTheme="minorEastAsia" w:hAnsiTheme="minorEastAsia" w:eastAsiaTheme="minorEastAsia"/>
        </w:rPr>
        <w:t>（10）能正确使用并维护直流电动机；</w:t>
      </w:r>
    </w:p>
    <w:p>
      <w:pPr>
        <w:spacing w:after="0" w:line="240" w:lineRule="auto"/>
        <w:ind w:firstLine="454"/>
        <w:jc w:val="both"/>
        <w:rPr>
          <w:rFonts w:hint="eastAsia" w:asciiTheme="minorEastAsia" w:hAnsiTheme="minorEastAsia" w:eastAsiaTheme="minorEastAsia"/>
        </w:rPr>
      </w:pPr>
      <w:r>
        <w:rPr>
          <w:rFonts w:hint="eastAsia" w:asciiTheme="minorEastAsia" w:hAnsiTheme="minorEastAsia" w:eastAsiaTheme="minorEastAsia"/>
        </w:rPr>
        <w:t>（11）能识别和选择使用常用的各种低压电器；</w:t>
      </w:r>
    </w:p>
    <w:p>
      <w:pPr>
        <w:spacing w:after="0" w:line="240" w:lineRule="auto"/>
        <w:ind w:firstLine="454"/>
        <w:jc w:val="both"/>
        <w:rPr>
          <w:rFonts w:hint="eastAsia" w:asciiTheme="minorEastAsia" w:hAnsiTheme="minorEastAsia" w:eastAsiaTheme="minorEastAsia"/>
        </w:rPr>
      </w:pPr>
      <w:r>
        <w:rPr>
          <w:rFonts w:hint="eastAsia" w:asciiTheme="minorEastAsia" w:hAnsiTheme="minorEastAsia" w:eastAsiaTheme="minorEastAsia"/>
        </w:rPr>
        <w:t>（12）懂得继电-接触器控制电路的原理并用于实践；</w:t>
      </w:r>
    </w:p>
    <w:p>
      <w:pPr>
        <w:spacing w:after="0" w:line="240" w:lineRule="auto"/>
        <w:ind w:firstLine="454"/>
        <w:jc w:val="both"/>
        <w:rPr>
          <w:rFonts w:hint="eastAsia" w:asciiTheme="minorEastAsia" w:hAnsiTheme="minorEastAsia" w:eastAsiaTheme="minorEastAsia"/>
          <w:lang w:eastAsia="zh-CN"/>
        </w:rPr>
      </w:pPr>
      <w:r>
        <w:rPr>
          <w:rFonts w:hint="eastAsia" w:asciiTheme="minorEastAsia" w:hAnsiTheme="minorEastAsia" w:eastAsiaTheme="minorEastAsia"/>
        </w:rPr>
        <w:t>（13）能熟练利用常用电工仪表测量电阻、电压、电流及功率参数，分析电路故障</w:t>
      </w:r>
      <w:r>
        <w:rPr>
          <w:rFonts w:hint="eastAsia" w:asciiTheme="minorEastAsia" w:hAnsiTheme="minorEastAsia" w:eastAsiaTheme="minorEastAsia"/>
          <w:lang w:eastAsia="zh-CN"/>
        </w:rPr>
        <w:t>。</w:t>
      </w:r>
    </w:p>
    <w:p>
      <w:pPr>
        <w:spacing w:after="0" w:line="240" w:lineRule="auto"/>
        <w:ind w:firstLine="454"/>
        <w:jc w:val="both"/>
        <w:rPr>
          <w:rFonts w:asciiTheme="minorEastAsia" w:hAnsiTheme="minorEastAsia" w:eastAsiaTheme="minorEastAsia"/>
        </w:rPr>
      </w:pPr>
      <w:r>
        <w:rPr>
          <w:rFonts w:hint="eastAsia" w:asciiTheme="minorEastAsia" w:hAnsiTheme="minorEastAsia" w:eastAsiaTheme="minorEastAsia"/>
        </w:rPr>
        <w:t>3.能力目标：通过课程学习，使学生逐渐具备能力或技能：</w:t>
      </w:r>
    </w:p>
    <w:p>
      <w:pPr>
        <w:pStyle w:val="2"/>
        <w:ind w:firstLine="496" w:firstLineChars="200"/>
        <w:rPr>
          <w:rFonts w:hint="eastAsia" w:asciiTheme="minorEastAsia" w:hAnsiTheme="minorEastAsia" w:eastAsiaTheme="minorEastAsia"/>
        </w:rPr>
      </w:pPr>
      <w:r>
        <w:rPr>
          <w:rFonts w:hint="eastAsia" w:asciiTheme="minorEastAsia" w:hAnsiTheme="minorEastAsia" w:eastAsiaTheme="minorEastAsia"/>
        </w:rPr>
        <w:t>（1）</w:t>
      </w:r>
      <w:bookmarkStart w:id="7" w:name="_Toc144476172"/>
      <w:r>
        <w:rPr>
          <w:rFonts w:hint="eastAsia" w:asciiTheme="minorEastAsia" w:hAnsiTheme="minorEastAsia" w:eastAsiaTheme="minorEastAsia"/>
        </w:rPr>
        <w:t>能判定点位高低和电器功率的计算；</w:t>
      </w:r>
    </w:p>
    <w:p>
      <w:pPr>
        <w:pStyle w:val="2"/>
        <w:ind w:firstLine="496" w:firstLineChars="200"/>
        <w:rPr>
          <w:rFonts w:hint="eastAsia" w:asciiTheme="minorEastAsia" w:hAnsiTheme="minorEastAsia" w:eastAsiaTheme="minorEastAsia"/>
        </w:rPr>
      </w:pPr>
      <w:r>
        <w:rPr>
          <w:rFonts w:hint="eastAsia" w:asciiTheme="minorEastAsia" w:hAnsiTheme="minorEastAsia" w:eastAsiaTheme="minorEastAsia"/>
          <w:lang w:eastAsia="zh-CN"/>
        </w:rPr>
        <w:t>（</w:t>
      </w:r>
      <w:r>
        <w:rPr>
          <w:rFonts w:hint="eastAsia" w:asciiTheme="minorEastAsia" w:hAnsiTheme="minorEastAsia" w:eastAsiaTheme="minorEastAsia"/>
        </w:rPr>
        <w:t>2）能够正确熟练进行电路的串并联；</w:t>
      </w:r>
    </w:p>
    <w:p>
      <w:pPr>
        <w:pStyle w:val="2"/>
        <w:ind w:firstLine="496" w:firstLineChars="200"/>
        <w:rPr>
          <w:rFonts w:hint="eastAsia" w:asciiTheme="minorEastAsia" w:hAnsiTheme="minorEastAsia" w:eastAsiaTheme="minorEastAsia"/>
        </w:rPr>
      </w:pPr>
      <w:r>
        <w:rPr>
          <w:rFonts w:hint="eastAsia" w:asciiTheme="minorEastAsia" w:hAnsiTheme="minorEastAsia" w:eastAsiaTheme="minorEastAsia"/>
          <w:lang w:eastAsia="zh-CN"/>
        </w:rPr>
        <w:t>（</w:t>
      </w:r>
      <w:r>
        <w:rPr>
          <w:rFonts w:hint="eastAsia" w:asciiTheme="minorEastAsia" w:hAnsiTheme="minorEastAsia" w:eastAsiaTheme="minorEastAsia"/>
        </w:rPr>
        <w:t>3）能正确区分和谐振电路；</w:t>
      </w:r>
    </w:p>
    <w:p>
      <w:pPr>
        <w:pStyle w:val="2"/>
        <w:ind w:firstLine="496" w:firstLineChars="200"/>
        <w:rPr>
          <w:rFonts w:hint="eastAsia" w:asciiTheme="minorEastAsia" w:hAnsiTheme="minorEastAsia" w:eastAsiaTheme="minorEastAsia"/>
        </w:rPr>
      </w:pPr>
      <w:r>
        <w:rPr>
          <w:rFonts w:hint="eastAsia" w:asciiTheme="minorEastAsia" w:hAnsiTheme="minorEastAsia" w:eastAsiaTheme="minorEastAsia"/>
          <w:lang w:eastAsia="zh-CN"/>
        </w:rPr>
        <w:t>（</w:t>
      </w:r>
      <w:r>
        <w:rPr>
          <w:rFonts w:hint="eastAsia" w:asciiTheme="minorEastAsia" w:hAnsiTheme="minorEastAsia" w:eastAsiaTheme="minorEastAsia"/>
        </w:rPr>
        <w:t>4）能够根据应用条件正确连接三相负载；</w:t>
      </w:r>
    </w:p>
    <w:p>
      <w:pPr>
        <w:pStyle w:val="2"/>
        <w:ind w:firstLine="496" w:firstLineChars="200"/>
        <w:rPr>
          <w:rFonts w:hint="eastAsia" w:asciiTheme="minorEastAsia" w:hAnsiTheme="minorEastAsia" w:eastAsiaTheme="minorEastAsia"/>
        </w:rPr>
      </w:pPr>
      <w:r>
        <w:rPr>
          <w:rFonts w:hint="eastAsia" w:asciiTheme="minorEastAsia" w:hAnsiTheme="minorEastAsia" w:eastAsiaTheme="minorEastAsia"/>
          <w:lang w:eastAsia="zh-CN"/>
        </w:rPr>
        <w:t>（</w:t>
      </w:r>
      <w:r>
        <w:rPr>
          <w:rFonts w:hint="eastAsia" w:asciiTheme="minorEastAsia" w:hAnsiTheme="minorEastAsia" w:eastAsiaTheme="minorEastAsia"/>
        </w:rPr>
        <w:t>5）能够熟练分析三相对称电路并能简单处理常见电路问题；</w:t>
      </w:r>
    </w:p>
    <w:p>
      <w:pPr>
        <w:pStyle w:val="2"/>
        <w:ind w:firstLine="496" w:firstLineChars="200"/>
        <w:rPr>
          <w:rFonts w:hint="eastAsia" w:asciiTheme="minorEastAsia" w:hAnsiTheme="minorEastAsia" w:eastAsiaTheme="minorEastAsia"/>
        </w:rPr>
      </w:pPr>
      <w:r>
        <w:rPr>
          <w:rFonts w:hint="eastAsia" w:asciiTheme="minorEastAsia" w:hAnsiTheme="minorEastAsia" w:eastAsiaTheme="minorEastAsia"/>
          <w:lang w:eastAsia="zh-CN"/>
        </w:rPr>
        <w:t>（</w:t>
      </w:r>
      <w:r>
        <w:rPr>
          <w:rFonts w:hint="eastAsia" w:asciiTheme="minorEastAsia" w:hAnsiTheme="minorEastAsia" w:eastAsiaTheme="minorEastAsia"/>
        </w:rPr>
        <w:t>6）能够简单选择和使用各类用途的变压器；</w:t>
      </w:r>
    </w:p>
    <w:p>
      <w:pPr>
        <w:pStyle w:val="2"/>
        <w:ind w:firstLine="496" w:firstLineChars="200"/>
        <w:rPr>
          <w:rFonts w:hint="eastAsia" w:asciiTheme="minorEastAsia" w:hAnsiTheme="minorEastAsia" w:eastAsiaTheme="minorEastAsia"/>
        </w:rPr>
      </w:pPr>
      <w:r>
        <w:rPr>
          <w:rFonts w:hint="eastAsia" w:asciiTheme="minorEastAsia" w:hAnsiTheme="minorEastAsia" w:eastAsiaTheme="minorEastAsia"/>
          <w:lang w:eastAsia="zh-CN"/>
        </w:rPr>
        <w:t>（</w:t>
      </w:r>
      <w:r>
        <w:rPr>
          <w:rFonts w:hint="eastAsia" w:asciiTheme="minorEastAsia" w:hAnsiTheme="minorEastAsia" w:eastAsiaTheme="minorEastAsia"/>
        </w:rPr>
        <w:t>7）能熟悉常用电机的特性并能简单选择、使用和维护；</w:t>
      </w:r>
    </w:p>
    <w:p>
      <w:pPr>
        <w:pStyle w:val="2"/>
        <w:ind w:firstLine="496" w:firstLineChars="200"/>
        <w:rPr>
          <w:rFonts w:hint="eastAsia" w:asciiTheme="minorEastAsia" w:hAnsiTheme="minorEastAsia" w:eastAsiaTheme="minorEastAsia"/>
        </w:rPr>
      </w:pPr>
      <w:r>
        <w:rPr>
          <w:rFonts w:hint="eastAsia" w:asciiTheme="minorEastAsia" w:hAnsiTheme="minorEastAsia" w:eastAsiaTheme="minorEastAsia"/>
          <w:lang w:eastAsia="zh-CN"/>
        </w:rPr>
        <w:t>（</w:t>
      </w:r>
      <w:r>
        <w:rPr>
          <w:rFonts w:hint="eastAsia" w:asciiTheme="minorEastAsia" w:hAnsiTheme="minorEastAsia" w:eastAsiaTheme="minorEastAsia"/>
        </w:rPr>
        <w:t>8）能识别和选择使用常用的各种低压电器；</w:t>
      </w:r>
    </w:p>
    <w:p>
      <w:pPr>
        <w:pStyle w:val="2"/>
        <w:ind w:firstLine="496" w:firstLineChars="200"/>
        <w:rPr>
          <w:rFonts w:hint="eastAsia" w:asciiTheme="minorEastAsia" w:hAnsiTheme="minorEastAsia" w:eastAsiaTheme="minorEastAsia"/>
        </w:rPr>
      </w:pPr>
      <w:r>
        <w:rPr>
          <w:rFonts w:hint="eastAsia" w:asciiTheme="minorEastAsia" w:hAnsiTheme="minorEastAsia" w:eastAsiaTheme="minorEastAsia"/>
          <w:lang w:eastAsia="zh-CN"/>
        </w:rPr>
        <w:t>（</w:t>
      </w:r>
      <w:r>
        <w:rPr>
          <w:rFonts w:hint="eastAsia" w:asciiTheme="minorEastAsia" w:hAnsiTheme="minorEastAsia" w:eastAsiaTheme="minorEastAsia"/>
        </w:rPr>
        <w:t>9）会用继电-接触器控制电机的运行；</w:t>
      </w:r>
    </w:p>
    <w:p>
      <w:pPr>
        <w:pStyle w:val="2"/>
        <w:ind w:firstLine="496" w:firstLineChars="200"/>
        <w:rPr>
          <w:rFonts w:hint="eastAsia" w:asciiTheme="minorEastAsia" w:hAnsiTheme="minorEastAsia" w:eastAsiaTheme="minorEastAsia"/>
          <w:lang w:eastAsia="zh-CN"/>
        </w:rPr>
      </w:pPr>
      <w:r>
        <w:rPr>
          <w:rFonts w:hint="eastAsia" w:asciiTheme="minorEastAsia" w:hAnsiTheme="minorEastAsia" w:eastAsiaTheme="minorEastAsia"/>
          <w:lang w:eastAsia="zh-CN"/>
        </w:rPr>
        <w:t>（</w:t>
      </w:r>
      <w:r>
        <w:rPr>
          <w:rFonts w:hint="eastAsia" w:asciiTheme="minorEastAsia" w:hAnsiTheme="minorEastAsia" w:eastAsiaTheme="minorEastAsia"/>
        </w:rPr>
        <w:t>10）能熟练利用常用电工仪表</w:t>
      </w:r>
      <w:r>
        <w:rPr>
          <w:rFonts w:hint="eastAsia" w:asciiTheme="minorEastAsia" w:hAnsiTheme="minorEastAsia" w:eastAsiaTheme="minorEastAsia"/>
          <w:lang w:eastAsia="zh-CN"/>
        </w:rPr>
        <w:t>；</w:t>
      </w:r>
    </w:p>
    <w:p>
      <w:pPr>
        <w:pStyle w:val="2"/>
        <w:ind w:firstLine="496" w:firstLineChars="200"/>
      </w:pPr>
      <w:r>
        <w:rPr>
          <w:rFonts w:hint="eastAsia" w:asciiTheme="minorEastAsia" w:hAnsiTheme="minorEastAsia" w:eastAsiaTheme="minorEastAsia"/>
          <w:lang w:eastAsia="zh-CN"/>
        </w:rPr>
        <w:t>（</w:t>
      </w:r>
      <w:r>
        <w:rPr>
          <w:rFonts w:hint="eastAsia" w:asciiTheme="minorEastAsia" w:hAnsiTheme="minorEastAsia" w:eastAsiaTheme="minorEastAsia"/>
        </w:rPr>
        <w:t>11）具有安全意识，能进行用电安全防护和急救。</w:t>
      </w:r>
    </w:p>
    <w:p>
      <w:pPr>
        <w:pStyle w:val="2"/>
        <w:ind w:firstLine="496" w:firstLineChars="200"/>
        <w:rPr>
          <w:rFonts w:asciiTheme="minorEastAsia" w:hAnsiTheme="minorEastAsia" w:eastAsiaTheme="minorEastAsia"/>
        </w:rPr>
      </w:pPr>
      <w:r>
        <w:rPr>
          <w:rFonts w:hint="eastAsia" w:asciiTheme="minorEastAsia" w:hAnsiTheme="minorEastAsia" w:eastAsiaTheme="minorEastAsia"/>
        </w:rPr>
        <w:t>五、教学内容与安排</w:t>
      </w:r>
      <w:bookmarkEnd w:id="7"/>
    </w:p>
    <w:p>
      <w:pPr>
        <w:spacing w:after="0" w:line="240" w:lineRule="auto"/>
        <w:ind w:firstLine="454"/>
        <w:jc w:val="both"/>
        <w:rPr>
          <w:rFonts w:asciiTheme="minorEastAsia" w:hAnsiTheme="minorEastAsia" w:eastAsiaTheme="minorEastAsia"/>
        </w:rPr>
      </w:pPr>
      <w:r>
        <w:rPr>
          <w:rFonts w:hint="eastAsia" w:asciiTheme="minorEastAsia" w:hAnsiTheme="minorEastAsia" w:eastAsiaTheme="minorEastAsia"/>
        </w:rPr>
        <w:t>（一）教学内容设计原则</w:t>
      </w:r>
    </w:p>
    <w:p>
      <w:pPr>
        <w:pStyle w:val="14"/>
        <w:spacing w:after="0" w:line="240" w:lineRule="auto"/>
        <w:ind w:left="0" w:firstLine="454"/>
        <w:jc w:val="both"/>
        <w:rPr>
          <w:rFonts w:asciiTheme="minorEastAsia" w:hAnsiTheme="minorEastAsia" w:eastAsiaTheme="minorEastAsia"/>
          <w:szCs w:val="24"/>
        </w:rPr>
      </w:pPr>
      <w:r>
        <w:rPr>
          <w:rFonts w:hint="eastAsia" w:asciiTheme="minorEastAsia" w:hAnsiTheme="minorEastAsia" w:eastAsiaTheme="minorEastAsia"/>
          <w:szCs w:val="24"/>
        </w:rPr>
        <w:t>依据电工技术和课程设计理念，教学内容设计贯彻以下教学原则：</w:t>
      </w:r>
    </w:p>
    <w:p>
      <w:pPr>
        <w:spacing w:after="0" w:line="240" w:lineRule="auto"/>
        <w:ind w:firstLine="454"/>
        <w:jc w:val="both"/>
        <w:rPr>
          <w:rFonts w:asciiTheme="minorEastAsia" w:hAnsiTheme="minorEastAsia" w:eastAsiaTheme="minorEastAsia"/>
        </w:rPr>
      </w:pPr>
      <w:r>
        <w:rPr>
          <w:rFonts w:hint="eastAsia" w:asciiTheme="minorEastAsia" w:hAnsiTheme="minorEastAsia" w:eastAsiaTheme="minorEastAsia"/>
        </w:rPr>
        <w:t>1.启发式原则：即任何学习活动都要建立在学生自觉需要的基础上，应当充分调动学生的主动性和积极性。启发式教学原则要求，“启而能发，发而能导，导而能活，活而不乱”，而启发的标志在于，教师能够围绕教学目标激起学生积极的思维活动；</w:t>
      </w:r>
    </w:p>
    <w:p>
      <w:pPr>
        <w:spacing w:after="0" w:line="240" w:lineRule="auto"/>
        <w:ind w:firstLine="454"/>
        <w:jc w:val="both"/>
        <w:rPr>
          <w:rFonts w:asciiTheme="minorEastAsia" w:hAnsiTheme="minorEastAsia" w:eastAsiaTheme="minorEastAsia"/>
        </w:rPr>
      </w:pPr>
      <w:r>
        <w:rPr>
          <w:rFonts w:hint="eastAsia" w:asciiTheme="minorEastAsia" w:hAnsiTheme="minorEastAsia" w:eastAsiaTheme="minorEastAsia"/>
        </w:rPr>
        <w:t>2.循序渐进原则：主张教学既要按照内容的深浅程度由易到难，又要按照学生的年龄特征由浅入深、循序渐进，因势利导，进而取得好的教学效果；</w:t>
      </w:r>
    </w:p>
    <w:p>
      <w:pPr>
        <w:spacing w:after="0" w:line="240" w:lineRule="auto"/>
        <w:ind w:firstLine="454"/>
        <w:jc w:val="both"/>
        <w:rPr>
          <w:rFonts w:asciiTheme="minorEastAsia" w:hAnsiTheme="minorEastAsia" w:eastAsiaTheme="minorEastAsia"/>
        </w:rPr>
      </w:pPr>
      <w:r>
        <w:rPr>
          <w:rFonts w:hint="eastAsia" w:asciiTheme="minorEastAsia" w:hAnsiTheme="minorEastAsia" w:eastAsiaTheme="minorEastAsia"/>
        </w:rPr>
        <w:t>3.因材施教原则：因材施教，就是按一定的教学目标，针对学生的个别差异和具体特点，采取不同的教学措施。这条原则事实上是学生的个性特征和身心发展规律在教学中的反映，学生的知识水平、先前的生活经验、兴趣爱好、个性倾向等等彼此之间毕竟有一定的差异；</w:t>
      </w:r>
    </w:p>
    <w:p>
      <w:pPr>
        <w:pStyle w:val="2"/>
        <w:ind w:firstLine="496" w:firstLineChars="200"/>
      </w:pPr>
      <w:r>
        <w:t>4.教学相长原则：要求教学过程形成师生互动，相互沟通，相互影响，相互补充的信息互动，通过这种信息交流，实现共识、共享、共进。</w:t>
      </w:r>
    </w:p>
    <w:p>
      <w:pPr>
        <w:spacing w:after="0" w:line="240" w:lineRule="auto"/>
        <w:ind w:firstLine="0" w:firstLineChars="0"/>
        <w:jc w:val="both"/>
        <w:rPr>
          <w:rFonts w:asciiTheme="minorEastAsia" w:hAnsiTheme="minorEastAsia" w:eastAsiaTheme="minorEastAsia"/>
        </w:rPr>
      </w:pPr>
      <w:r>
        <w:rPr>
          <w:rFonts w:hint="eastAsia" w:asciiTheme="minorEastAsia" w:hAnsiTheme="minorEastAsia" w:eastAsiaTheme="minorEastAsia"/>
        </w:rPr>
        <w:t>（二）教学内容设计</w:t>
      </w:r>
    </w:p>
    <w:p>
      <w:pPr>
        <w:spacing w:after="0" w:line="240" w:lineRule="auto"/>
        <w:ind w:firstLine="0" w:firstLineChars="0"/>
        <w:jc w:val="both"/>
        <w:rPr>
          <w:rFonts w:asciiTheme="minorEastAsia" w:hAnsiTheme="minorEastAsia" w:eastAsiaTheme="minorEastAsia"/>
        </w:rPr>
      </w:pPr>
      <w:r>
        <w:rPr>
          <w:rFonts w:hint="eastAsia" w:asciiTheme="minorEastAsia" w:hAnsiTheme="minorEastAsia" w:eastAsiaTheme="minorEastAsia"/>
        </w:rPr>
        <w:t>依据课程教学内容设计原则，课程教学内容设计见表1。</w:t>
      </w:r>
    </w:p>
    <w:p>
      <w:pPr>
        <w:widowControl/>
        <w:spacing w:after="0" w:line="240" w:lineRule="auto"/>
        <w:ind w:firstLine="0" w:firstLineChars="0"/>
        <w:rPr>
          <w:rFonts w:asciiTheme="minorEastAsia" w:hAnsiTheme="minorEastAsia" w:eastAsiaTheme="minorEastAsia"/>
        </w:rPr>
      </w:pPr>
      <w:r>
        <w:rPr>
          <w:rFonts w:asciiTheme="minorEastAsia" w:hAnsiTheme="minorEastAsia" w:eastAsiaTheme="minorEastAsia"/>
        </w:rPr>
        <w:br w:type="page"/>
      </w:r>
    </w:p>
    <w:p>
      <w:pPr>
        <w:spacing w:after="0" w:line="240" w:lineRule="auto"/>
        <w:ind w:firstLine="454"/>
        <w:jc w:val="center"/>
        <w:rPr>
          <w:rFonts w:asciiTheme="minorEastAsia" w:hAnsiTheme="minorEastAsia" w:eastAsiaTheme="minorEastAsia"/>
        </w:rPr>
      </w:pPr>
      <w:r>
        <w:rPr>
          <w:rFonts w:hint="eastAsia" w:asciiTheme="minorEastAsia" w:hAnsiTheme="minorEastAsia" w:eastAsiaTheme="minorEastAsia"/>
        </w:rPr>
        <w:t>表1：课程教学内容设计表</w:t>
      </w:r>
    </w:p>
    <w:tbl>
      <w:tblPr>
        <w:tblStyle w:val="25"/>
        <w:tblW w:w="8991" w:type="dxa"/>
        <w:tblInd w:w="0" w:type="dxa"/>
        <w:tblLayout w:type="autofit"/>
        <w:tblCellMar>
          <w:top w:w="0" w:type="dxa"/>
          <w:left w:w="0" w:type="dxa"/>
          <w:bottom w:w="0" w:type="dxa"/>
          <w:right w:w="0" w:type="dxa"/>
        </w:tblCellMar>
      </w:tblPr>
      <w:tblGrid>
        <w:gridCol w:w="467"/>
        <w:gridCol w:w="1172"/>
        <w:gridCol w:w="1495"/>
        <w:gridCol w:w="1535"/>
        <w:gridCol w:w="1637"/>
        <w:gridCol w:w="1567"/>
        <w:gridCol w:w="559"/>
        <w:gridCol w:w="559"/>
      </w:tblGrid>
      <w:tr>
        <w:tblPrEx>
          <w:tblCellMar>
            <w:top w:w="0" w:type="dxa"/>
            <w:left w:w="0" w:type="dxa"/>
            <w:bottom w:w="0" w:type="dxa"/>
            <w:right w:w="0" w:type="dxa"/>
          </w:tblCellMar>
        </w:tblPrEx>
        <w:trPr>
          <w:trHeight w:val="420" w:hRule="atLeast"/>
          <w:tblHeader/>
        </w:trPr>
        <w:tc>
          <w:tcPr>
            <w:tcW w:w="467" w:type="dxa"/>
            <w:vMerge w:val="restart"/>
            <w:tcBorders>
              <w:top w:val="single" w:color="000000" w:sz="12" w:space="0"/>
              <w:left w:val="single" w:color="000000" w:sz="12" w:space="0"/>
              <w:bottom w:val="single" w:color="auto" w:sz="4" w:space="0"/>
              <w:right w:val="single" w:color="auto" w:sz="4" w:space="0"/>
            </w:tcBorders>
            <w:shd w:val="clear" w:color="auto" w:fill="auto"/>
            <w:tcMar>
              <w:top w:w="10" w:type="dxa"/>
              <w:left w:w="10" w:type="dxa"/>
              <w:right w:w="10" w:type="dxa"/>
            </w:tcMar>
            <w:vAlign w:val="center"/>
          </w:tcPr>
          <w:p>
            <w:pPr>
              <w:pStyle w:val="2"/>
              <w:jc w:val="center"/>
              <w:rPr>
                <w:b/>
                <w:bCs/>
                <w:sz w:val="21"/>
                <w:szCs w:val="21"/>
              </w:rPr>
            </w:pPr>
            <w:bookmarkStart w:id="8" w:name="_Toc144476173"/>
            <w:r>
              <w:rPr>
                <w:rFonts w:hint="eastAsia"/>
                <w:b/>
                <w:bCs/>
                <w:sz w:val="21"/>
                <w:szCs w:val="21"/>
              </w:rPr>
              <w:t>序号</w:t>
            </w:r>
          </w:p>
        </w:tc>
        <w:tc>
          <w:tcPr>
            <w:tcW w:w="1172" w:type="dxa"/>
            <w:vMerge w:val="restart"/>
            <w:tcBorders>
              <w:top w:val="single" w:color="000000" w:sz="12"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pStyle w:val="2"/>
              <w:jc w:val="center"/>
              <w:rPr>
                <w:b/>
                <w:bCs/>
                <w:sz w:val="21"/>
                <w:szCs w:val="21"/>
              </w:rPr>
            </w:pPr>
            <w:r>
              <w:rPr>
                <w:rFonts w:hint="eastAsia"/>
                <w:b/>
                <w:bCs/>
                <w:sz w:val="21"/>
                <w:szCs w:val="21"/>
              </w:rPr>
              <w:t>教学单元</w:t>
            </w:r>
          </w:p>
        </w:tc>
        <w:tc>
          <w:tcPr>
            <w:tcW w:w="1495" w:type="dxa"/>
            <w:vMerge w:val="restart"/>
            <w:tcBorders>
              <w:top w:val="single" w:color="000000" w:sz="12"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pStyle w:val="2"/>
              <w:jc w:val="center"/>
              <w:rPr>
                <w:b/>
                <w:bCs/>
                <w:sz w:val="21"/>
                <w:szCs w:val="21"/>
              </w:rPr>
            </w:pPr>
            <w:r>
              <w:rPr>
                <w:rFonts w:hint="eastAsia"/>
                <w:b/>
                <w:bCs/>
                <w:sz w:val="21"/>
                <w:szCs w:val="21"/>
              </w:rPr>
              <w:t>教学要点</w:t>
            </w:r>
            <w:r>
              <w:rPr>
                <w:rFonts w:hint="eastAsia"/>
                <w:b/>
                <w:bCs/>
                <w:sz w:val="21"/>
                <w:szCs w:val="21"/>
              </w:rPr>
              <w:br w:type="textWrapping"/>
            </w:r>
            <w:r>
              <w:rPr>
                <w:rFonts w:hint="eastAsia"/>
                <w:b/>
                <w:bCs/>
                <w:sz w:val="21"/>
                <w:szCs w:val="21"/>
              </w:rPr>
              <w:t>赛证要点</w:t>
            </w:r>
          </w:p>
        </w:tc>
        <w:tc>
          <w:tcPr>
            <w:tcW w:w="1535" w:type="dxa"/>
            <w:vMerge w:val="restart"/>
            <w:tcBorders>
              <w:top w:val="single" w:color="000000" w:sz="12"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pStyle w:val="2"/>
              <w:jc w:val="center"/>
              <w:rPr>
                <w:b/>
                <w:bCs/>
                <w:sz w:val="21"/>
                <w:szCs w:val="21"/>
              </w:rPr>
            </w:pPr>
            <w:r>
              <w:rPr>
                <w:rFonts w:hint="eastAsia"/>
                <w:b/>
                <w:bCs/>
                <w:sz w:val="21"/>
                <w:szCs w:val="21"/>
              </w:rPr>
              <w:t>素质目标</w:t>
            </w:r>
          </w:p>
        </w:tc>
        <w:tc>
          <w:tcPr>
            <w:tcW w:w="1637" w:type="dxa"/>
            <w:vMerge w:val="restart"/>
            <w:tcBorders>
              <w:top w:val="single" w:color="000000" w:sz="12"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pStyle w:val="2"/>
              <w:jc w:val="center"/>
              <w:rPr>
                <w:b/>
                <w:bCs/>
                <w:sz w:val="21"/>
                <w:szCs w:val="21"/>
              </w:rPr>
            </w:pPr>
            <w:r>
              <w:rPr>
                <w:rFonts w:hint="eastAsia"/>
                <w:b/>
                <w:bCs/>
                <w:sz w:val="21"/>
                <w:szCs w:val="21"/>
              </w:rPr>
              <w:t>知识目标</w:t>
            </w:r>
          </w:p>
        </w:tc>
        <w:tc>
          <w:tcPr>
            <w:tcW w:w="1567" w:type="dxa"/>
            <w:vMerge w:val="restart"/>
            <w:tcBorders>
              <w:top w:val="single" w:color="000000" w:sz="12"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pStyle w:val="2"/>
              <w:jc w:val="center"/>
              <w:rPr>
                <w:b/>
                <w:bCs/>
                <w:sz w:val="21"/>
                <w:szCs w:val="21"/>
              </w:rPr>
            </w:pPr>
            <w:r>
              <w:rPr>
                <w:rFonts w:hint="eastAsia"/>
                <w:b/>
                <w:bCs/>
                <w:sz w:val="21"/>
                <w:szCs w:val="21"/>
              </w:rPr>
              <w:t>能力目标</w:t>
            </w:r>
          </w:p>
        </w:tc>
        <w:tc>
          <w:tcPr>
            <w:tcW w:w="1118" w:type="dxa"/>
            <w:gridSpan w:val="2"/>
            <w:tcBorders>
              <w:top w:val="single" w:color="000000" w:sz="12" w:space="0"/>
              <w:left w:val="single" w:color="auto" w:sz="4" w:space="0"/>
              <w:bottom w:val="single" w:color="auto" w:sz="4" w:space="0"/>
              <w:right w:val="single" w:color="000000" w:sz="4" w:space="0"/>
            </w:tcBorders>
            <w:shd w:val="clear" w:color="auto" w:fill="auto"/>
            <w:tcMar>
              <w:top w:w="10" w:type="dxa"/>
              <w:left w:w="10" w:type="dxa"/>
              <w:right w:w="10" w:type="dxa"/>
            </w:tcMar>
            <w:vAlign w:val="center"/>
          </w:tcPr>
          <w:p>
            <w:pPr>
              <w:pStyle w:val="2"/>
              <w:jc w:val="center"/>
              <w:rPr>
                <w:b/>
                <w:bCs/>
                <w:sz w:val="21"/>
                <w:szCs w:val="21"/>
              </w:rPr>
            </w:pPr>
            <w:r>
              <w:rPr>
                <w:rFonts w:hint="eastAsia"/>
                <w:b/>
                <w:bCs/>
                <w:sz w:val="21"/>
                <w:szCs w:val="21"/>
              </w:rPr>
              <w:t>学时</w:t>
            </w:r>
          </w:p>
        </w:tc>
      </w:tr>
      <w:tr>
        <w:tblPrEx>
          <w:tblCellMar>
            <w:top w:w="0" w:type="dxa"/>
            <w:left w:w="0" w:type="dxa"/>
            <w:bottom w:w="0" w:type="dxa"/>
            <w:right w:w="0" w:type="dxa"/>
          </w:tblCellMar>
        </w:tblPrEx>
        <w:trPr>
          <w:trHeight w:val="159" w:hRule="atLeast"/>
          <w:tblHeader/>
        </w:trPr>
        <w:tc>
          <w:tcPr>
            <w:tcW w:w="467" w:type="dxa"/>
            <w:vMerge w:val="continue"/>
            <w:tcBorders>
              <w:top w:val="single" w:color="auto" w:sz="4" w:space="0"/>
              <w:left w:val="single" w:color="000000" w:sz="12" w:space="0"/>
              <w:bottom w:val="single" w:color="auto" w:sz="4" w:space="0"/>
              <w:right w:val="single" w:color="auto" w:sz="4" w:space="0"/>
            </w:tcBorders>
            <w:shd w:val="clear" w:color="auto" w:fill="auto"/>
            <w:tcMar>
              <w:top w:w="10" w:type="dxa"/>
              <w:left w:w="10" w:type="dxa"/>
              <w:right w:w="10" w:type="dxa"/>
            </w:tcMar>
            <w:vAlign w:val="center"/>
          </w:tcPr>
          <w:p>
            <w:pPr>
              <w:pStyle w:val="2"/>
              <w:jc w:val="center"/>
              <w:rPr>
                <w:b/>
                <w:bCs/>
                <w:sz w:val="21"/>
                <w:szCs w:val="21"/>
              </w:rPr>
            </w:pPr>
          </w:p>
        </w:tc>
        <w:tc>
          <w:tcPr>
            <w:tcW w:w="1172" w:type="dxa"/>
            <w:vMerge w:val="continue"/>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pStyle w:val="2"/>
              <w:jc w:val="center"/>
              <w:rPr>
                <w:b/>
                <w:bCs/>
                <w:sz w:val="21"/>
                <w:szCs w:val="21"/>
              </w:rPr>
            </w:pPr>
          </w:p>
        </w:tc>
        <w:tc>
          <w:tcPr>
            <w:tcW w:w="1495" w:type="dxa"/>
            <w:vMerge w:val="continue"/>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pStyle w:val="2"/>
              <w:jc w:val="center"/>
              <w:rPr>
                <w:b/>
                <w:bCs/>
                <w:sz w:val="21"/>
                <w:szCs w:val="21"/>
              </w:rPr>
            </w:pPr>
          </w:p>
        </w:tc>
        <w:tc>
          <w:tcPr>
            <w:tcW w:w="1535" w:type="dxa"/>
            <w:vMerge w:val="continue"/>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pStyle w:val="2"/>
              <w:jc w:val="center"/>
              <w:rPr>
                <w:b/>
                <w:bCs/>
                <w:sz w:val="21"/>
                <w:szCs w:val="21"/>
              </w:rPr>
            </w:pPr>
          </w:p>
        </w:tc>
        <w:tc>
          <w:tcPr>
            <w:tcW w:w="1637" w:type="dxa"/>
            <w:vMerge w:val="continue"/>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pStyle w:val="2"/>
              <w:jc w:val="center"/>
              <w:rPr>
                <w:b/>
                <w:bCs/>
                <w:sz w:val="21"/>
                <w:szCs w:val="21"/>
              </w:rPr>
            </w:pPr>
          </w:p>
        </w:tc>
        <w:tc>
          <w:tcPr>
            <w:tcW w:w="1567" w:type="dxa"/>
            <w:vMerge w:val="continue"/>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pStyle w:val="2"/>
              <w:jc w:val="center"/>
              <w:rPr>
                <w:b/>
                <w:bCs/>
                <w:sz w:val="21"/>
                <w:szCs w:val="21"/>
              </w:rPr>
            </w:pPr>
          </w:p>
        </w:tc>
        <w:tc>
          <w:tcPr>
            <w:tcW w:w="559"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pStyle w:val="2"/>
              <w:jc w:val="center"/>
              <w:rPr>
                <w:b/>
                <w:bCs/>
                <w:sz w:val="21"/>
                <w:szCs w:val="21"/>
              </w:rPr>
            </w:pPr>
            <w:r>
              <w:rPr>
                <w:rFonts w:hint="eastAsia"/>
                <w:b/>
                <w:bCs/>
                <w:sz w:val="21"/>
                <w:szCs w:val="21"/>
              </w:rPr>
              <w:t>理</w:t>
            </w:r>
          </w:p>
        </w:tc>
        <w:tc>
          <w:tcPr>
            <w:tcW w:w="559" w:type="dxa"/>
            <w:tcBorders>
              <w:top w:val="single" w:color="auto" w:sz="4" w:space="0"/>
              <w:left w:val="single" w:color="auto" w:sz="4" w:space="0"/>
              <w:bottom w:val="single" w:color="auto" w:sz="4" w:space="0"/>
              <w:right w:val="single" w:color="000000" w:sz="12" w:space="0"/>
            </w:tcBorders>
            <w:shd w:val="clear" w:color="auto" w:fill="auto"/>
            <w:tcMar>
              <w:top w:w="10" w:type="dxa"/>
              <w:left w:w="10" w:type="dxa"/>
              <w:right w:w="10" w:type="dxa"/>
            </w:tcMar>
            <w:vAlign w:val="center"/>
          </w:tcPr>
          <w:p>
            <w:pPr>
              <w:pStyle w:val="2"/>
              <w:jc w:val="center"/>
              <w:rPr>
                <w:b/>
                <w:bCs/>
                <w:sz w:val="21"/>
                <w:szCs w:val="21"/>
              </w:rPr>
            </w:pPr>
            <w:r>
              <w:rPr>
                <w:rFonts w:hint="eastAsia"/>
                <w:b/>
                <w:bCs/>
                <w:sz w:val="21"/>
                <w:szCs w:val="21"/>
              </w:rPr>
              <w:t>实</w:t>
            </w:r>
          </w:p>
        </w:tc>
      </w:tr>
      <w:tr>
        <w:tblPrEx>
          <w:tblCellMar>
            <w:top w:w="0" w:type="dxa"/>
            <w:left w:w="0" w:type="dxa"/>
            <w:bottom w:w="0" w:type="dxa"/>
            <w:right w:w="0" w:type="dxa"/>
          </w:tblCellMar>
        </w:tblPrEx>
        <w:trPr>
          <w:trHeight w:val="6318" w:hRule="atLeast"/>
        </w:trPr>
        <w:tc>
          <w:tcPr>
            <w:tcW w:w="467" w:type="dxa"/>
            <w:tcBorders>
              <w:top w:val="single" w:color="auto" w:sz="4" w:space="0"/>
              <w:left w:val="single" w:color="000000" w:sz="12" w:space="0"/>
              <w:bottom w:val="single" w:color="auto" w:sz="4" w:space="0"/>
              <w:right w:val="single" w:color="auto" w:sz="4" w:space="0"/>
            </w:tcBorders>
            <w:shd w:val="clear" w:color="auto" w:fill="auto"/>
            <w:tcMar>
              <w:top w:w="10" w:type="dxa"/>
              <w:left w:w="10" w:type="dxa"/>
              <w:right w:w="10" w:type="dxa"/>
            </w:tcMar>
            <w:vAlign w:val="center"/>
          </w:tcPr>
          <w:p>
            <w:pPr>
              <w:pStyle w:val="2"/>
              <w:jc w:val="center"/>
              <w:rPr>
                <w:sz w:val="21"/>
                <w:szCs w:val="21"/>
              </w:rPr>
            </w:pPr>
            <w:r>
              <w:rPr>
                <w:rFonts w:hint="eastAsia"/>
                <w:sz w:val="21"/>
                <w:szCs w:val="21"/>
              </w:rPr>
              <w:t>1</w:t>
            </w:r>
          </w:p>
        </w:tc>
        <w:tc>
          <w:tcPr>
            <w:tcW w:w="1172"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pStyle w:val="2"/>
              <w:jc w:val="center"/>
              <w:rPr>
                <w:sz w:val="21"/>
                <w:szCs w:val="21"/>
              </w:rPr>
            </w:pPr>
            <w:r>
              <w:rPr>
                <w:rFonts w:hint="eastAsia"/>
                <w:sz w:val="21"/>
                <w:szCs w:val="21"/>
              </w:rPr>
              <w:t>电路基础理论和分析方法</w:t>
            </w:r>
          </w:p>
        </w:tc>
        <w:tc>
          <w:tcPr>
            <w:tcW w:w="1495"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pStyle w:val="2"/>
              <w:rPr>
                <w:sz w:val="21"/>
                <w:szCs w:val="21"/>
              </w:rPr>
            </w:pPr>
            <w:r>
              <w:rPr>
                <w:rFonts w:hint="eastAsia"/>
                <w:sz w:val="21"/>
                <w:szCs w:val="21"/>
              </w:rPr>
              <w:t>(1)电路和电路模型</w:t>
            </w:r>
          </w:p>
          <w:p>
            <w:pPr>
              <w:pStyle w:val="2"/>
              <w:rPr>
                <w:sz w:val="21"/>
                <w:szCs w:val="21"/>
              </w:rPr>
            </w:pPr>
            <w:r>
              <w:rPr>
                <w:sz w:val="21"/>
                <w:szCs w:val="21"/>
              </w:rPr>
              <w:t>(</w:t>
            </w:r>
            <w:r>
              <w:rPr>
                <w:rFonts w:hint="eastAsia"/>
                <w:sz w:val="21"/>
                <w:szCs w:val="21"/>
              </w:rPr>
              <w:t>2</w:t>
            </w:r>
            <w:r>
              <w:rPr>
                <w:sz w:val="21"/>
                <w:szCs w:val="21"/>
              </w:rPr>
              <w:t>)</w:t>
            </w:r>
            <w:r>
              <w:rPr>
                <w:rFonts w:hint="eastAsia"/>
                <w:sz w:val="21"/>
                <w:szCs w:val="21"/>
              </w:rPr>
              <w:t>电路变量</w:t>
            </w:r>
          </w:p>
          <w:p>
            <w:pPr>
              <w:pStyle w:val="2"/>
              <w:rPr>
                <w:sz w:val="21"/>
                <w:szCs w:val="21"/>
              </w:rPr>
            </w:pPr>
            <w:r>
              <w:rPr>
                <w:sz w:val="21"/>
                <w:szCs w:val="21"/>
              </w:rPr>
              <w:t>(</w:t>
            </w:r>
            <w:r>
              <w:rPr>
                <w:rFonts w:hint="eastAsia"/>
                <w:sz w:val="21"/>
                <w:szCs w:val="21"/>
              </w:rPr>
              <w:t>3</w:t>
            </w:r>
            <w:r>
              <w:rPr>
                <w:sz w:val="21"/>
                <w:szCs w:val="21"/>
              </w:rPr>
              <w:t>)</w:t>
            </w:r>
            <w:r>
              <w:rPr>
                <w:rFonts w:hint="eastAsia"/>
                <w:sz w:val="21"/>
                <w:szCs w:val="21"/>
              </w:rPr>
              <w:t>电路元件模型</w:t>
            </w:r>
          </w:p>
          <w:p>
            <w:pPr>
              <w:pStyle w:val="2"/>
              <w:rPr>
                <w:sz w:val="21"/>
                <w:szCs w:val="21"/>
              </w:rPr>
            </w:pPr>
            <w:r>
              <w:rPr>
                <w:sz w:val="21"/>
                <w:szCs w:val="21"/>
              </w:rPr>
              <w:t>(</w:t>
            </w:r>
            <w:r>
              <w:rPr>
                <w:rFonts w:hint="eastAsia"/>
                <w:sz w:val="21"/>
                <w:szCs w:val="21"/>
              </w:rPr>
              <w:t>4</w:t>
            </w:r>
            <w:r>
              <w:rPr>
                <w:sz w:val="21"/>
                <w:szCs w:val="21"/>
              </w:rPr>
              <w:t>)</w:t>
            </w:r>
            <w:r>
              <w:rPr>
                <w:rFonts w:hint="eastAsia"/>
                <w:sz w:val="21"/>
                <w:szCs w:val="21"/>
              </w:rPr>
              <w:t>基尔霍夫定律</w:t>
            </w:r>
          </w:p>
          <w:p>
            <w:pPr>
              <w:pStyle w:val="2"/>
              <w:rPr>
                <w:sz w:val="21"/>
                <w:szCs w:val="21"/>
              </w:rPr>
            </w:pPr>
            <w:r>
              <w:rPr>
                <w:sz w:val="21"/>
                <w:szCs w:val="21"/>
              </w:rPr>
              <w:t>(</w:t>
            </w:r>
            <w:r>
              <w:rPr>
                <w:rFonts w:hint="eastAsia"/>
                <w:sz w:val="21"/>
                <w:szCs w:val="21"/>
              </w:rPr>
              <w:t>5</w:t>
            </w:r>
            <w:r>
              <w:rPr>
                <w:sz w:val="21"/>
                <w:szCs w:val="21"/>
              </w:rPr>
              <w:t>)</w:t>
            </w:r>
            <w:r>
              <w:rPr>
                <w:rFonts w:hint="eastAsia"/>
                <w:sz w:val="21"/>
                <w:szCs w:val="21"/>
              </w:rPr>
              <w:t>电位与电位的计算</w:t>
            </w:r>
          </w:p>
        </w:tc>
        <w:tc>
          <w:tcPr>
            <w:tcW w:w="1535"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pStyle w:val="2"/>
              <w:rPr>
                <w:sz w:val="21"/>
                <w:szCs w:val="21"/>
              </w:rPr>
            </w:pPr>
            <w:r>
              <w:rPr>
                <w:sz w:val="21"/>
                <w:szCs w:val="21"/>
              </w:rPr>
              <w:t>(1)</w:t>
            </w:r>
            <w:r>
              <w:rPr>
                <w:rFonts w:hint="eastAsia"/>
                <w:sz w:val="21"/>
                <w:szCs w:val="21"/>
              </w:rPr>
              <w:t>科学态度：引导学生树立科学严谨的学习态度，对待电路基础理论和分析方法的学习要有耐心和恒心，注重理论与实践相结合</w:t>
            </w:r>
          </w:p>
          <w:p>
            <w:pPr>
              <w:pStyle w:val="2"/>
              <w:rPr>
                <w:sz w:val="21"/>
                <w:szCs w:val="21"/>
              </w:rPr>
            </w:pPr>
            <w:r>
              <w:rPr>
                <w:sz w:val="21"/>
                <w:szCs w:val="21"/>
              </w:rPr>
              <w:t>(</w:t>
            </w:r>
            <w:r>
              <w:rPr>
                <w:rFonts w:hint="eastAsia"/>
                <w:sz w:val="21"/>
                <w:szCs w:val="21"/>
              </w:rPr>
              <w:t>2</w:t>
            </w:r>
            <w:r>
              <w:rPr>
                <w:sz w:val="21"/>
                <w:szCs w:val="21"/>
              </w:rPr>
              <w:t>)</w:t>
            </w:r>
            <w:r>
              <w:rPr>
                <w:rFonts w:hint="eastAsia"/>
                <w:sz w:val="21"/>
                <w:szCs w:val="21"/>
              </w:rPr>
              <w:t>安全意识：强调电路操作中的安全注意事项，培养学生的安全意识，确保在实验和工作中严格遵守安全规范</w:t>
            </w:r>
          </w:p>
          <w:p>
            <w:pPr>
              <w:pStyle w:val="2"/>
              <w:rPr>
                <w:sz w:val="21"/>
                <w:szCs w:val="21"/>
              </w:rPr>
            </w:pPr>
            <w:r>
              <w:rPr>
                <w:sz w:val="21"/>
                <w:szCs w:val="21"/>
              </w:rPr>
              <w:t>(</w:t>
            </w:r>
            <w:r>
              <w:rPr>
                <w:rFonts w:hint="eastAsia"/>
                <w:sz w:val="21"/>
                <w:szCs w:val="21"/>
              </w:rPr>
              <w:t>3</w:t>
            </w:r>
            <w:r>
              <w:rPr>
                <w:sz w:val="21"/>
                <w:szCs w:val="21"/>
              </w:rPr>
              <w:t>)</w:t>
            </w:r>
            <w:r>
              <w:rPr>
                <w:rFonts w:hint="eastAsia"/>
                <w:sz w:val="21"/>
                <w:szCs w:val="21"/>
              </w:rPr>
              <w:t>团队协作：鼓励学生进行小组学习和讨论，培养团队协作和沟通能力，共同解决电路学习和实践中的问题</w:t>
            </w:r>
          </w:p>
          <w:p>
            <w:pPr>
              <w:pStyle w:val="2"/>
              <w:rPr>
                <w:sz w:val="21"/>
                <w:szCs w:val="21"/>
              </w:rPr>
            </w:pPr>
            <w:r>
              <w:rPr>
                <w:sz w:val="21"/>
                <w:szCs w:val="21"/>
              </w:rPr>
              <w:t>(</w:t>
            </w:r>
            <w:r>
              <w:rPr>
                <w:rFonts w:hint="eastAsia"/>
                <w:sz w:val="21"/>
                <w:szCs w:val="21"/>
              </w:rPr>
              <w:t>4</w:t>
            </w:r>
            <w:r>
              <w:rPr>
                <w:sz w:val="21"/>
                <w:szCs w:val="21"/>
              </w:rPr>
              <w:t>)</w:t>
            </w:r>
            <w:r>
              <w:rPr>
                <w:rFonts w:hint="eastAsia"/>
                <w:sz w:val="21"/>
                <w:szCs w:val="21"/>
              </w:rPr>
              <w:t>创新能力：激发学生的创新思维，鼓励学生在电路分析和设计中尝试新方法、新思路，提高解决问题的能力</w:t>
            </w:r>
          </w:p>
        </w:tc>
        <w:tc>
          <w:tcPr>
            <w:tcW w:w="1637"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pStyle w:val="2"/>
              <w:rPr>
                <w:sz w:val="21"/>
                <w:szCs w:val="21"/>
              </w:rPr>
            </w:pPr>
            <w:r>
              <w:rPr>
                <w:sz w:val="21"/>
                <w:szCs w:val="21"/>
              </w:rPr>
              <w:t>(1)</w:t>
            </w:r>
            <w:r>
              <w:rPr>
                <w:rFonts w:hint="eastAsia"/>
                <w:sz w:val="21"/>
                <w:szCs w:val="21"/>
              </w:rPr>
              <w:t>电路基础理论知识：掌握电路的基本概念、基本元件（如电阻、电容、电感等）的特性及参数、电路的基本定律（如欧姆定律、基尔霍夫定律等）</w:t>
            </w:r>
          </w:p>
          <w:p>
            <w:pPr>
              <w:pStyle w:val="2"/>
              <w:rPr>
                <w:sz w:val="21"/>
                <w:szCs w:val="21"/>
              </w:rPr>
            </w:pPr>
            <w:r>
              <w:rPr>
                <w:sz w:val="21"/>
                <w:szCs w:val="21"/>
              </w:rPr>
              <w:t>(</w:t>
            </w:r>
            <w:r>
              <w:rPr>
                <w:rFonts w:hint="eastAsia"/>
                <w:sz w:val="21"/>
                <w:szCs w:val="21"/>
              </w:rPr>
              <w:t>2</w:t>
            </w:r>
            <w:r>
              <w:rPr>
                <w:sz w:val="21"/>
                <w:szCs w:val="21"/>
              </w:rPr>
              <w:t>)</w:t>
            </w:r>
            <w:r>
              <w:rPr>
                <w:rFonts w:hint="eastAsia"/>
                <w:sz w:val="21"/>
                <w:szCs w:val="21"/>
              </w:rPr>
              <w:t>电路分析方法：掌握电路的基本分析方法，包括直流电路的分析（如支路电流法、节点电压法等）、交流电路的分析（如相量法、频率响应法等）</w:t>
            </w:r>
          </w:p>
          <w:p>
            <w:pPr>
              <w:pStyle w:val="2"/>
              <w:rPr>
                <w:sz w:val="21"/>
                <w:szCs w:val="21"/>
              </w:rPr>
            </w:pPr>
            <w:r>
              <w:rPr>
                <w:sz w:val="21"/>
                <w:szCs w:val="21"/>
              </w:rPr>
              <w:t>(</w:t>
            </w:r>
            <w:r>
              <w:rPr>
                <w:rFonts w:hint="eastAsia"/>
                <w:sz w:val="21"/>
                <w:szCs w:val="21"/>
              </w:rPr>
              <w:t>3</w:t>
            </w:r>
            <w:r>
              <w:rPr>
                <w:sz w:val="21"/>
                <w:szCs w:val="21"/>
              </w:rPr>
              <w:t>)</w:t>
            </w:r>
            <w:r>
              <w:rPr>
                <w:rFonts w:hint="eastAsia"/>
                <w:sz w:val="21"/>
                <w:szCs w:val="21"/>
              </w:rPr>
              <w:t>消防电路知识：了解建筑消防系统中的电路结构、工作原理及消防设备（如火灾自动报警系统、灭火及消防联动系统等）的电路控制原理</w:t>
            </w:r>
          </w:p>
        </w:tc>
        <w:tc>
          <w:tcPr>
            <w:tcW w:w="1567"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pStyle w:val="2"/>
              <w:rPr>
                <w:sz w:val="21"/>
                <w:szCs w:val="21"/>
              </w:rPr>
            </w:pPr>
            <w:r>
              <w:rPr>
                <w:sz w:val="21"/>
                <w:szCs w:val="21"/>
              </w:rPr>
              <w:t>(1)</w:t>
            </w:r>
            <w:r>
              <w:rPr>
                <w:rFonts w:hint="eastAsia"/>
                <w:sz w:val="21"/>
                <w:szCs w:val="21"/>
              </w:rPr>
              <w:t>分析能力：通过电路基础理论的学习和分析方法的训练，使学生具备独立分析电路的能力，能够准确判断电路的工作状态、故障位置及原因</w:t>
            </w:r>
          </w:p>
          <w:p>
            <w:pPr>
              <w:pStyle w:val="2"/>
              <w:rPr>
                <w:sz w:val="21"/>
                <w:szCs w:val="21"/>
              </w:rPr>
            </w:pPr>
            <w:r>
              <w:rPr>
                <w:sz w:val="21"/>
                <w:szCs w:val="21"/>
              </w:rPr>
              <w:t>(</w:t>
            </w:r>
            <w:r>
              <w:rPr>
                <w:rFonts w:hint="eastAsia"/>
                <w:sz w:val="21"/>
                <w:szCs w:val="21"/>
              </w:rPr>
              <w:t>2</w:t>
            </w:r>
            <w:r>
              <w:rPr>
                <w:sz w:val="21"/>
                <w:szCs w:val="21"/>
              </w:rPr>
              <w:t>)</w:t>
            </w:r>
            <w:r>
              <w:rPr>
                <w:rFonts w:hint="eastAsia"/>
                <w:sz w:val="21"/>
                <w:szCs w:val="21"/>
              </w:rPr>
              <w:t>设计能力：培养学生的电路设计能力，能够根据实际需求设计合理的电路方案，并进行电路图的绘制和仿真验证</w:t>
            </w:r>
          </w:p>
          <w:p>
            <w:pPr>
              <w:pStyle w:val="2"/>
              <w:rPr>
                <w:sz w:val="21"/>
                <w:szCs w:val="21"/>
              </w:rPr>
            </w:pPr>
            <w:r>
              <w:rPr>
                <w:sz w:val="21"/>
                <w:szCs w:val="21"/>
              </w:rPr>
              <w:t>(</w:t>
            </w:r>
            <w:r>
              <w:rPr>
                <w:rFonts w:hint="eastAsia"/>
                <w:sz w:val="21"/>
                <w:szCs w:val="21"/>
              </w:rPr>
              <w:t>3</w:t>
            </w:r>
            <w:r>
              <w:rPr>
                <w:sz w:val="21"/>
                <w:szCs w:val="21"/>
              </w:rPr>
              <w:t>)</w:t>
            </w:r>
            <w:r>
              <w:rPr>
                <w:rFonts w:hint="eastAsia"/>
                <w:sz w:val="21"/>
                <w:szCs w:val="21"/>
              </w:rPr>
              <w:t>实践能力：通过实验和实训环节，使学生掌握电路实验的基本技能和方法，能够进行电路的连接、调试和故障排除</w:t>
            </w:r>
          </w:p>
          <w:p>
            <w:pPr>
              <w:pStyle w:val="2"/>
              <w:rPr>
                <w:sz w:val="21"/>
                <w:szCs w:val="21"/>
              </w:rPr>
            </w:pPr>
            <w:r>
              <w:rPr>
                <w:sz w:val="21"/>
                <w:szCs w:val="21"/>
              </w:rPr>
              <w:t>(</w:t>
            </w:r>
            <w:r>
              <w:rPr>
                <w:rFonts w:hint="eastAsia"/>
                <w:sz w:val="21"/>
                <w:szCs w:val="21"/>
              </w:rPr>
              <w:t>4</w:t>
            </w:r>
            <w:r>
              <w:rPr>
                <w:sz w:val="21"/>
                <w:szCs w:val="21"/>
              </w:rPr>
              <w:t>)</w:t>
            </w:r>
            <w:r>
              <w:rPr>
                <w:rFonts w:hint="eastAsia"/>
                <w:sz w:val="21"/>
                <w:szCs w:val="21"/>
              </w:rPr>
              <w:t>应用能力：将电路基础理论和分析方法应用于建筑消防系统中，使学生能够根据消防设备的需求进行电路控制设计、安装和调试</w:t>
            </w:r>
          </w:p>
        </w:tc>
        <w:tc>
          <w:tcPr>
            <w:tcW w:w="559"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pStyle w:val="2"/>
              <w:jc w:val="center"/>
              <w:rPr>
                <w:sz w:val="21"/>
                <w:szCs w:val="21"/>
              </w:rPr>
            </w:pPr>
            <w:r>
              <w:rPr>
                <w:rFonts w:hint="eastAsia"/>
                <w:sz w:val="21"/>
                <w:szCs w:val="21"/>
              </w:rPr>
              <w:t>6</w:t>
            </w:r>
          </w:p>
        </w:tc>
        <w:tc>
          <w:tcPr>
            <w:tcW w:w="559" w:type="dxa"/>
            <w:tcBorders>
              <w:top w:val="single" w:color="auto" w:sz="4" w:space="0"/>
              <w:left w:val="single" w:color="auto" w:sz="4" w:space="0"/>
              <w:bottom w:val="single" w:color="auto" w:sz="4" w:space="0"/>
              <w:right w:val="single" w:color="000000" w:sz="12" w:space="0"/>
            </w:tcBorders>
            <w:shd w:val="clear" w:color="auto" w:fill="auto"/>
            <w:tcMar>
              <w:top w:w="10" w:type="dxa"/>
              <w:left w:w="10" w:type="dxa"/>
              <w:right w:w="10" w:type="dxa"/>
            </w:tcMar>
            <w:vAlign w:val="center"/>
          </w:tcPr>
          <w:p>
            <w:pPr>
              <w:pStyle w:val="2"/>
              <w:jc w:val="center"/>
              <w:rPr>
                <w:sz w:val="21"/>
                <w:szCs w:val="21"/>
              </w:rPr>
            </w:pPr>
            <w:r>
              <w:rPr>
                <w:rFonts w:hint="eastAsia"/>
                <w:sz w:val="21"/>
                <w:szCs w:val="21"/>
              </w:rPr>
              <w:t>2</w:t>
            </w:r>
          </w:p>
        </w:tc>
      </w:tr>
      <w:tr>
        <w:tblPrEx>
          <w:tblCellMar>
            <w:top w:w="0" w:type="dxa"/>
            <w:left w:w="0" w:type="dxa"/>
            <w:bottom w:w="0" w:type="dxa"/>
            <w:right w:w="0" w:type="dxa"/>
          </w:tblCellMar>
        </w:tblPrEx>
        <w:trPr>
          <w:trHeight w:val="616" w:hRule="atLeast"/>
        </w:trPr>
        <w:tc>
          <w:tcPr>
            <w:tcW w:w="467" w:type="dxa"/>
            <w:tcBorders>
              <w:top w:val="single" w:color="auto" w:sz="4" w:space="0"/>
              <w:left w:val="single" w:color="000000" w:sz="12" w:space="0"/>
              <w:bottom w:val="single" w:color="auto" w:sz="4" w:space="0"/>
              <w:right w:val="single" w:color="auto" w:sz="4" w:space="0"/>
            </w:tcBorders>
            <w:shd w:val="clear" w:color="auto" w:fill="auto"/>
            <w:tcMar>
              <w:top w:w="10" w:type="dxa"/>
              <w:left w:w="10" w:type="dxa"/>
              <w:right w:w="10" w:type="dxa"/>
            </w:tcMar>
            <w:vAlign w:val="center"/>
          </w:tcPr>
          <w:p>
            <w:pPr>
              <w:pStyle w:val="2"/>
              <w:jc w:val="center"/>
              <w:rPr>
                <w:sz w:val="21"/>
                <w:szCs w:val="21"/>
              </w:rPr>
            </w:pPr>
            <w:r>
              <w:rPr>
                <w:rFonts w:hint="eastAsia"/>
                <w:sz w:val="21"/>
                <w:szCs w:val="21"/>
              </w:rPr>
              <w:t>2</w:t>
            </w:r>
          </w:p>
        </w:tc>
        <w:tc>
          <w:tcPr>
            <w:tcW w:w="1172"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pStyle w:val="2"/>
              <w:jc w:val="center"/>
              <w:rPr>
                <w:sz w:val="21"/>
                <w:szCs w:val="21"/>
              </w:rPr>
            </w:pPr>
            <w:r>
              <w:rPr>
                <w:rFonts w:hint="eastAsia"/>
                <w:sz w:val="21"/>
                <w:szCs w:val="21"/>
              </w:rPr>
              <w:t>电路的分析方法和定理</w:t>
            </w:r>
          </w:p>
        </w:tc>
        <w:tc>
          <w:tcPr>
            <w:tcW w:w="1495"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pStyle w:val="2"/>
              <w:rPr>
                <w:sz w:val="21"/>
                <w:szCs w:val="21"/>
              </w:rPr>
            </w:pPr>
            <w:r>
              <w:rPr>
                <w:sz w:val="21"/>
                <w:szCs w:val="21"/>
              </w:rPr>
              <w:t>(1)</w:t>
            </w:r>
            <w:r>
              <w:rPr>
                <w:rFonts w:hint="eastAsia"/>
                <w:sz w:val="21"/>
                <w:szCs w:val="21"/>
              </w:rPr>
              <w:t>电路的等效变换、等效一端网络的机念</w:t>
            </w:r>
          </w:p>
          <w:p>
            <w:pPr>
              <w:pStyle w:val="2"/>
              <w:rPr>
                <w:sz w:val="21"/>
                <w:szCs w:val="21"/>
              </w:rPr>
            </w:pPr>
            <w:r>
              <w:rPr>
                <w:sz w:val="21"/>
                <w:szCs w:val="21"/>
              </w:rPr>
              <w:t>(</w:t>
            </w:r>
            <w:r>
              <w:rPr>
                <w:rFonts w:hint="eastAsia"/>
                <w:sz w:val="21"/>
                <w:szCs w:val="21"/>
              </w:rPr>
              <w:t>2</w:t>
            </w:r>
            <w:r>
              <w:rPr>
                <w:sz w:val="21"/>
                <w:szCs w:val="21"/>
              </w:rPr>
              <w:t>)</w:t>
            </w:r>
            <w:r>
              <w:rPr>
                <w:rFonts w:hint="eastAsia"/>
                <w:sz w:val="21"/>
                <w:szCs w:val="21"/>
              </w:rPr>
              <w:t>电阻电路分析的一般方法（支路电流法、节点用法）</w:t>
            </w:r>
          </w:p>
          <w:p>
            <w:pPr>
              <w:pStyle w:val="2"/>
              <w:rPr>
                <w:sz w:val="21"/>
                <w:szCs w:val="21"/>
              </w:rPr>
            </w:pPr>
            <w:r>
              <w:rPr>
                <w:sz w:val="21"/>
                <w:szCs w:val="21"/>
              </w:rPr>
              <w:t>(</w:t>
            </w:r>
            <w:r>
              <w:rPr>
                <w:rFonts w:hint="eastAsia"/>
                <w:sz w:val="21"/>
                <w:szCs w:val="21"/>
              </w:rPr>
              <w:t>3</w:t>
            </w:r>
            <w:r>
              <w:rPr>
                <w:sz w:val="21"/>
                <w:szCs w:val="21"/>
              </w:rPr>
              <w:t>)电路定理</w:t>
            </w:r>
            <w:r>
              <w:rPr>
                <w:rFonts w:hint="eastAsia"/>
                <w:sz w:val="21"/>
                <w:szCs w:val="21"/>
              </w:rPr>
              <w:t>（诺顿定理、最大功密传输定理）</w:t>
            </w:r>
          </w:p>
        </w:tc>
        <w:tc>
          <w:tcPr>
            <w:tcW w:w="1535"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pStyle w:val="2"/>
              <w:rPr>
                <w:sz w:val="21"/>
                <w:szCs w:val="21"/>
              </w:rPr>
            </w:pPr>
            <w:r>
              <w:rPr>
                <w:sz w:val="21"/>
                <w:szCs w:val="21"/>
              </w:rPr>
              <w:t>(1)</w:t>
            </w:r>
            <w:r>
              <w:rPr>
                <w:rFonts w:hint="eastAsia"/>
                <w:sz w:val="21"/>
                <w:szCs w:val="21"/>
              </w:rPr>
              <w:t>科学探索精神：培养学生具备科学探索精神，对电路的分析方法和定理保持好奇心和求知欲，能够主动探索电路分析的深度和广度</w:t>
            </w:r>
          </w:p>
          <w:p>
            <w:pPr>
              <w:pStyle w:val="2"/>
              <w:rPr>
                <w:sz w:val="21"/>
                <w:szCs w:val="21"/>
              </w:rPr>
            </w:pPr>
            <w:r>
              <w:rPr>
                <w:sz w:val="21"/>
                <w:szCs w:val="21"/>
              </w:rPr>
              <w:t>(</w:t>
            </w:r>
            <w:r>
              <w:rPr>
                <w:rFonts w:hint="eastAsia"/>
                <w:sz w:val="21"/>
                <w:szCs w:val="21"/>
              </w:rPr>
              <w:t>2</w:t>
            </w:r>
            <w:r>
              <w:rPr>
                <w:sz w:val="21"/>
                <w:szCs w:val="21"/>
              </w:rPr>
              <w:t>)</w:t>
            </w:r>
            <w:r>
              <w:rPr>
                <w:rFonts w:hint="eastAsia"/>
                <w:sz w:val="21"/>
                <w:szCs w:val="21"/>
              </w:rPr>
              <w:t>安全意识：在教授电路分析方法和定理时，始终强调安全意识，确保学生在实验和实践中遵循安全规范，预防电气事故的发生</w:t>
            </w:r>
          </w:p>
          <w:p>
            <w:pPr>
              <w:pStyle w:val="2"/>
              <w:rPr>
                <w:sz w:val="21"/>
                <w:szCs w:val="21"/>
              </w:rPr>
            </w:pPr>
            <w:r>
              <w:rPr>
                <w:sz w:val="21"/>
                <w:szCs w:val="21"/>
              </w:rPr>
              <w:t>(</w:t>
            </w:r>
            <w:r>
              <w:rPr>
                <w:rFonts w:hint="eastAsia"/>
                <w:sz w:val="21"/>
                <w:szCs w:val="21"/>
              </w:rPr>
              <w:t>3</w:t>
            </w:r>
            <w:r>
              <w:rPr>
                <w:sz w:val="21"/>
                <w:szCs w:val="21"/>
              </w:rPr>
              <w:t>)</w:t>
            </w:r>
            <w:r>
              <w:rPr>
                <w:rFonts w:hint="eastAsia"/>
                <w:sz w:val="21"/>
                <w:szCs w:val="21"/>
              </w:rPr>
              <w:t>逻辑思维：通过电路分析方法和定理的学习，锻炼学生的逻辑思维能力，使其能够系统地分析和解决问题</w:t>
            </w:r>
          </w:p>
          <w:p>
            <w:pPr>
              <w:pStyle w:val="2"/>
              <w:rPr>
                <w:sz w:val="21"/>
                <w:szCs w:val="21"/>
              </w:rPr>
            </w:pPr>
            <w:r>
              <w:rPr>
                <w:sz w:val="21"/>
                <w:szCs w:val="21"/>
              </w:rPr>
              <w:t>(</w:t>
            </w:r>
            <w:r>
              <w:rPr>
                <w:rFonts w:hint="eastAsia"/>
                <w:sz w:val="21"/>
                <w:szCs w:val="21"/>
              </w:rPr>
              <w:t>4</w:t>
            </w:r>
            <w:r>
              <w:rPr>
                <w:sz w:val="21"/>
                <w:szCs w:val="21"/>
              </w:rPr>
              <w:t>)</w:t>
            </w:r>
            <w:r>
              <w:rPr>
                <w:rFonts w:hint="eastAsia"/>
                <w:sz w:val="21"/>
                <w:szCs w:val="21"/>
              </w:rPr>
              <w:t>团队协作能力：鼓励学生在学习和实践中进行团队协作，共同解决复杂电路的分析问题，提高团队沟通和协作能力</w:t>
            </w:r>
          </w:p>
        </w:tc>
        <w:tc>
          <w:tcPr>
            <w:tcW w:w="1637"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pStyle w:val="2"/>
              <w:rPr>
                <w:sz w:val="21"/>
                <w:szCs w:val="21"/>
              </w:rPr>
            </w:pPr>
            <w:r>
              <w:rPr>
                <w:sz w:val="21"/>
                <w:szCs w:val="21"/>
              </w:rPr>
              <w:t>(1)</w:t>
            </w:r>
            <w:r>
              <w:rPr>
                <w:rFonts w:hint="eastAsia"/>
                <w:sz w:val="21"/>
                <w:szCs w:val="21"/>
              </w:rPr>
              <w:t>电路分析方法：掌握电路的基本分析方法，如节点电压法、支路电流法、回路电流法等，并能够灵活运用这些方法分析各种电路</w:t>
            </w:r>
          </w:p>
          <w:p>
            <w:pPr>
              <w:pStyle w:val="2"/>
              <w:rPr>
                <w:sz w:val="21"/>
                <w:szCs w:val="21"/>
              </w:rPr>
            </w:pPr>
            <w:r>
              <w:rPr>
                <w:sz w:val="21"/>
                <w:szCs w:val="21"/>
              </w:rPr>
              <w:t>(</w:t>
            </w:r>
            <w:r>
              <w:rPr>
                <w:rFonts w:hint="eastAsia"/>
                <w:sz w:val="21"/>
                <w:szCs w:val="21"/>
              </w:rPr>
              <w:t>2</w:t>
            </w:r>
            <w:r>
              <w:rPr>
                <w:sz w:val="21"/>
                <w:szCs w:val="21"/>
              </w:rPr>
              <w:t>)</w:t>
            </w:r>
            <w:r>
              <w:rPr>
                <w:rFonts w:hint="eastAsia"/>
                <w:sz w:val="21"/>
                <w:szCs w:val="21"/>
              </w:rPr>
              <w:t>电路定理：了解并掌握电路的基本定理，如叠加定理、戴维南定理、诺顿定理等，理解这些定理的原理和应用条件</w:t>
            </w:r>
          </w:p>
          <w:p>
            <w:pPr>
              <w:pStyle w:val="2"/>
              <w:rPr>
                <w:sz w:val="21"/>
                <w:szCs w:val="21"/>
              </w:rPr>
            </w:pPr>
            <w:r>
              <w:rPr>
                <w:sz w:val="21"/>
                <w:szCs w:val="21"/>
              </w:rPr>
              <w:t>(</w:t>
            </w:r>
            <w:r>
              <w:rPr>
                <w:rFonts w:hint="eastAsia"/>
                <w:sz w:val="21"/>
                <w:szCs w:val="21"/>
              </w:rPr>
              <w:t>3</w:t>
            </w:r>
            <w:r>
              <w:rPr>
                <w:sz w:val="21"/>
                <w:szCs w:val="21"/>
              </w:rPr>
              <w:t>)</w:t>
            </w:r>
            <w:r>
              <w:rPr>
                <w:rFonts w:hint="eastAsia"/>
                <w:sz w:val="21"/>
                <w:szCs w:val="21"/>
              </w:rPr>
              <w:t>消防电路知识：结合建筑消防技术，了解消防电路的特点、构成和工作原理，掌握消防电路的分析方法和应用</w:t>
            </w:r>
          </w:p>
        </w:tc>
        <w:tc>
          <w:tcPr>
            <w:tcW w:w="1567"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pStyle w:val="2"/>
              <w:rPr>
                <w:sz w:val="21"/>
                <w:szCs w:val="21"/>
              </w:rPr>
            </w:pPr>
            <w:r>
              <w:rPr>
                <w:sz w:val="21"/>
                <w:szCs w:val="21"/>
              </w:rPr>
              <w:t>(</w:t>
            </w:r>
            <w:r>
              <w:rPr>
                <w:rFonts w:hint="eastAsia"/>
                <w:sz w:val="21"/>
                <w:szCs w:val="21"/>
              </w:rPr>
              <w:t>1</w:t>
            </w:r>
            <w:r>
              <w:rPr>
                <w:sz w:val="21"/>
                <w:szCs w:val="21"/>
              </w:rPr>
              <w:t>)</w:t>
            </w:r>
            <w:r>
              <w:rPr>
                <w:rFonts w:hint="eastAsia"/>
                <w:sz w:val="21"/>
                <w:szCs w:val="21"/>
              </w:rPr>
              <w:t>分析能力：通过电路分析方法和定理的学习，使学生能够独立分析各种电路，包括线性电路、非线性电路、动态电路等，并能够准确判断电路的工作状态</w:t>
            </w:r>
          </w:p>
          <w:p>
            <w:pPr>
              <w:pStyle w:val="2"/>
              <w:rPr>
                <w:sz w:val="21"/>
                <w:szCs w:val="21"/>
              </w:rPr>
            </w:pPr>
            <w:r>
              <w:rPr>
                <w:sz w:val="21"/>
                <w:szCs w:val="21"/>
              </w:rPr>
              <w:t>(</w:t>
            </w:r>
            <w:r>
              <w:rPr>
                <w:rFonts w:hint="eastAsia"/>
                <w:sz w:val="21"/>
                <w:szCs w:val="21"/>
              </w:rPr>
              <w:t>2</w:t>
            </w:r>
            <w:r>
              <w:rPr>
                <w:sz w:val="21"/>
                <w:szCs w:val="21"/>
              </w:rPr>
              <w:t>)</w:t>
            </w:r>
            <w:r>
              <w:rPr>
                <w:rFonts w:hint="eastAsia"/>
                <w:sz w:val="21"/>
                <w:szCs w:val="21"/>
              </w:rPr>
              <w:t>应用能力：将所学的电路分析方法和定理应用于建筑消防技术中，能够分析消防电路的工作原理、故障排查和维修等实际问题</w:t>
            </w:r>
          </w:p>
          <w:p>
            <w:pPr>
              <w:pStyle w:val="2"/>
              <w:rPr>
                <w:sz w:val="21"/>
                <w:szCs w:val="21"/>
              </w:rPr>
            </w:pPr>
            <w:r>
              <w:rPr>
                <w:sz w:val="21"/>
                <w:szCs w:val="21"/>
              </w:rPr>
              <w:t>(</w:t>
            </w:r>
            <w:r>
              <w:rPr>
                <w:rFonts w:hint="eastAsia"/>
                <w:sz w:val="21"/>
                <w:szCs w:val="21"/>
              </w:rPr>
              <w:t>3</w:t>
            </w:r>
            <w:r>
              <w:rPr>
                <w:sz w:val="21"/>
                <w:szCs w:val="21"/>
              </w:rPr>
              <w:t>)</w:t>
            </w:r>
            <w:r>
              <w:rPr>
                <w:rFonts w:hint="eastAsia"/>
                <w:sz w:val="21"/>
                <w:szCs w:val="21"/>
              </w:rPr>
              <w:t>创新能力：在掌握基本电路分析方法和定理的基础上，鼓励学生进行创新思考，探索新的电路分析方法和应用，提高解决问题的能力</w:t>
            </w:r>
          </w:p>
        </w:tc>
        <w:tc>
          <w:tcPr>
            <w:tcW w:w="559"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pStyle w:val="2"/>
              <w:jc w:val="center"/>
              <w:rPr>
                <w:sz w:val="21"/>
                <w:szCs w:val="21"/>
              </w:rPr>
            </w:pPr>
            <w:r>
              <w:rPr>
                <w:rFonts w:hint="eastAsia"/>
                <w:sz w:val="21"/>
                <w:szCs w:val="21"/>
              </w:rPr>
              <w:t>6</w:t>
            </w:r>
          </w:p>
        </w:tc>
        <w:tc>
          <w:tcPr>
            <w:tcW w:w="559" w:type="dxa"/>
            <w:tcBorders>
              <w:top w:val="single" w:color="auto" w:sz="4" w:space="0"/>
              <w:left w:val="single" w:color="auto" w:sz="4" w:space="0"/>
              <w:bottom w:val="single" w:color="auto" w:sz="4" w:space="0"/>
              <w:right w:val="single" w:color="000000" w:sz="12" w:space="0"/>
            </w:tcBorders>
            <w:shd w:val="clear" w:color="auto" w:fill="auto"/>
            <w:tcMar>
              <w:top w:w="10" w:type="dxa"/>
              <w:left w:w="10" w:type="dxa"/>
              <w:right w:w="10" w:type="dxa"/>
            </w:tcMar>
            <w:vAlign w:val="center"/>
          </w:tcPr>
          <w:p>
            <w:pPr>
              <w:pStyle w:val="2"/>
              <w:jc w:val="center"/>
              <w:rPr>
                <w:sz w:val="21"/>
                <w:szCs w:val="21"/>
              </w:rPr>
            </w:pPr>
            <w:r>
              <w:rPr>
                <w:rFonts w:hint="eastAsia"/>
                <w:sz w:val="21"/>
                <w:szCs w:val="21"/>
              </w:rPr>
              <w:t>2</w:t>
            </w:r>
          </w:p>
        </w:tc>
      </w:tr>
      <w:tr>
        <w:tblPrEx>
          <w:tblCellMar>
            <w:top w:w="0" w:type="dxa"/>
            <w:left w:w="0" w:type="dxa"/>
            <w:bottom w:w="0" w:type="dxa"/>
            <w:right w:w="0" w:type="dxa"/>
          </w:tblCellMar>
        </w:tblPrEx>
        <w:trPr>
          <w:trHeight w:val="2080" w:hRule="atLeast"/>
        </w:trPr>
        <w:tc>
          <w:tcPr>
            <w:tcW w:w="467" w:type="dxa"/>
            <w:tcBorders>
              <w:top w:val="single" w:color="auto" w:sz="4" w:space="0"/>
              <w:left w:val="single" w:color="000000" w:sz="12" w:space="0"/>
              <w:bottom w:val="single" w:color="auto" w:sz="4" w:space="0"/>
              <w:right w:val="single" w:color="auto" w:sz="4" w:space="0"/>
            </w:tcBorders>
            <w:shd w:val="clear" w:color="auto" w:fill="auto"/>
            <w:tcMar>
              <w:top w:w="10" w:type="dxa"/>
              <w:left w:w="10" w:type="dxa"/>
              <w:right w:w="10" w:type="dxa"/>
            </w:tcMar>
            <w:vAlign w:val="center"/>
          </w:tcPr>
          <w:p>
            <w:pPr>
              <w:pStyle w:val="2"/>
              <w:jc w:val="center"/>
              <w:rPr>
                <w:sz w:val="21"/>
                <w:szCs w:val="21"/>
              </w:rPr>
            </w:pPr>
            <w:r>
              <w:rPr>
                <w:rFonts w:hint="eastAsia"/>
                <w:sz w:val="21"/>
                <w:szCs w:val="21"/>
              </w:rPr>
              <w:t>3</w:t>
            </w:r>
          </w:p>
        </w:tc>
        <w:tc>
          <w:tcPr>
            <w:tcW w:w="1172"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pStyle w:val="2"/>
              <w:jc w:val="center"/>
              <w:rPr>
                <w:sz w:val="21"/>
                <w:szCs w:val="21"/>
              </w:rPr>
            </w:pPr>
            <w:r>
              <w:rPr>
                <w:rFonts w:hint="eastAsia"/>
                <w:sz w:val="21"/>
                <w:szCs w:val="21"/>
              </w:rPr>
              <w:t>一阶暂态电路</w:t>
            </w:r>
          </w:p>
        </w:tc>
        <w:tc>
          <w:tcPr>
            <w:tcW w:w="1495"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pStyle w:val="2"/>
              <w:rPr>
                <w:sz w:val="21"/>
                <w:szCs w:val="21"/>
              </w:rPr>
            </w:pPr>
            <w:r>
              <w:rPr>
                <w:sz w:val="21"/>
                <w:szCs w:val="21"/>
              </w:rPr>
              <w:t>(</w:t>
            </w:r>
            <w:r>
              <w:rPr>
                <w:rFonts w:hint="eastAsia"/>
                <w:sz w:val="21"/>
                <w:szCs w:val="21"/>
              </w:rPr>
              <w:t>1</w:t>
            </w:r>
            <w:r>
              <w:rPr>
                <w:sz w:val="21"/>
                <w:szCs w:val="21"/>
              </w:rPr>
              <w:t>)</w:t>
            </w:r>
            <w:r>
              <w:rPr>
                <w:rFonts w:hint="eastAsia"/>
                <w:sz w:val="21"/>
                <w:szCs w:val="21"/>
              </w:rPr>
              <w:t>稳太和暂态</w:t>
            </w:r>
          </w:p>
          <w:p>
            <w:pPr>
              <w:pStyle w:val="2"/>
              <w:rPr>
                <w:sz w:val="21"/>
                <w:szCs w:val="21"/>
              </w:rPr>
            </w:pPr>
            <w:r>
              <w:rPr>
                <w:sz w:val="21"/>
                <w:szCs w:val="21"/>
              </w:rPr>
              <w:t>(</w:t>
            </w:r>
            <w:r>
              <w:rPr>
                <w:rFonts w:hint="eastAsia"/>
                <w:sz w:val="21"/>
                <w:szCs w:val="21"/>
              </w:rPr>
              <w:t>2</w:t>
            </w:r>
            <w:r>
              <w:rPr>
                <w:sz w:val="21"/>
                <w:szCs w:val="21"/>
              </w:rPr>
              <w:t>)</w:t>
            </w:r>
            <w:r>
              <w:rPr>
                <w:rFonts w:hint="eastAsia"/>
                <w:sz w:val="21"/>
                <w:szCs w:val="21"/>
              </w:rPr>
              <w:t>换路定理及初始值确定</w:t>
            </w:r>
          </w:p>
          <w:p>
            <w:pPr>
              <w:pStyle w:val="2"/>
            </w:pPr>
            <w:r>
              <w:rPr>
                <w:sz w:val="21"/>
                <w:szCs w:val="21"/>
              </w:rPr>
              <w:t>(3)</w:t>
            </w:r>
            <w:r>
              <w:rPr>
                <w:rFonts w:hint="eastAsia"/>
              </w:rPr>
              <w:t>一阶电路输人响应</w:t>
            </w:r>
          </w:p>
          <w:p>
            <w:pPr>
              <w:pStyle w:val="2"/>
              <w:rPr>
                <w:sz w:val="21"/>
                <w:szCs w:val="21"/>
              </w:rPr>
            </w:pPr>
            <w:r>
              <w:rPr>
                <w:sz w:val="21"/>
                <w:szCs w:val="21"/>
              </w:rPr>
              <w:t>(</w:t>
            </w:r>
            <w:r>
              <w:rPr>
                <w:rFonts w:hint="eastAsia"/>
                <w:sz w:val="21"/>
                <w:szCs w:val="21"/>
              </w:rPr>
              <w:t>4</w:t>
            </w:r>
            <w:r>
              <w:rPr>
                <w:sz w:val="21"/>
                <w:szCs w:val="21"/>
              </w:rPr>
              <w:t>)</w:t>
            </w:r>
            <w:r>
              <w:rPr>
                <w:rFonts w:hint="eastAsia"/>
              </w:rPr>
              <w:t>一</w:t>
            </w:r>
            <w:r>
              <w:rPr>
                <w:rFonts w:hint="eastAsia"/>
                <w:sz w:val="21"/>
                <w:szCs w:val="21"/>
              </w:rPr>
              <w:t>阶电路零状态响应</w:t>
            </w:r>
          </w:p>
          <w:p>
            <w:pPr>
              <w:pStyle w:val="2"/>
              <w:rPr>
                <w:sz w:val="21"/>
                <w:szCs w:val="21"/>
              </w:rPr>
            </w:pPr>
            <w:r>
              <w:rPr>
                <w:sz w:val="21"/>
                <w:szCs w:val="21"/>
              </w:rPr>
              <w:t>(</w:t>
            </w:r>
            <w:r>
              <w:rPr>
                <w:rFonts w:hint="eastAsia"/>
                <w:sz w:val="21"/>
                <w:szCs w:val="21"/>
              </w:rPr>
              <w:t>5</w:t>
            </w:r>
            <w:r>
              <w:rPr>
                <w:sz w:val="21"/>
                <w:szCs w:val="21"/>
              </w:rPr>
              <w:t>)</w:t>
            </w:r>
            <w:r>
              <w:rPr>
                <w:rFonts w:hint="eastAsia"/>
                <w:sz w:val="21"/>
                <w:szCs w:val="21"/>
              </w:rPr>
              <w:t>一阶电路全响应和二要素法求解</w:t>
            </w:r>
          </w:p>
        </w:tc>
        <w:tc>
          <w:tcPr>
            <w:tcW w:w="1535"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pStyle w:val="2"/>
              <w:rPr>
                <w:sz w:val="21"/>
                <w:szCs w:val="21"/>
              </w:rPr>
            </w:pPr>
            <w:r>
              <w:rPr>
                <w:sz w:val="21"/>
                <w:szCs w:val="21"/>
              </w:rPr>
              <w:t>(1)</w:t>
            </w:r>
            <w:r>
              <w:rPr>
                <w:rFonts w:hint="eastAsia"/>
                <w:sz w:val="21"/>
                <w:szCs w:val="21"/>
              </w:rPr>
              <w:t>安全意识：培养学生对于电路操作的高度安全意识，特别是在涉及一阶暂态电路的实验和操作中，能够严格遵守安全规范，预防电气事故的发生</w:t>
            </w:r>
          </w:p>
          <w:p>
            <w:pPr>
              <w:pStyle w:val="2"/>
              <w:rPr>
                <w:sz w:val="21"/>
                <w:szCs w:val="21"/>
              </w:rPr>
            </w:pPr>
            <w:r>
              <w:rPr>
                <w:sz w:val="21"/>
                <w:szCs w:val="21"/>
              </w:rPr>
              <w:t>(</w:t>
            </w:r>
            <w:r>
              <w:rPr>
                <w:rFonts w:hint="eastAsia"/>
                <w:sz w:val="21"/>
                <w:szCs w:val="21"/>
              </w:rPr>
              <w:t>2</w:t>
            </w:r>
            <w:r>
              <w:rPr>
                <w:sz w:val="21"/>
                <w:szCs w:val="21"/>
              </w:rPr>
              <w:t>)</w:t>
            </w:r>
            <w:r>
              <w:rPr>
                <w:rFonts w:hint="eastAsia"/>
                <w:sz w:val="21"/>
                <w:szCs w:val="21"/>
              </w:rPr>
              <w:t>科学态度：引导学生树立科学严谨的学习态度，对一阶暂态电路的分析和研究保持好奇心和求知欲，追求准确和深入的理解</w:t>
            </w:r>
          </w:p>
          <w:p>
            <w:pPr>
              <w:pStyle w:val="2"/>
              <w:rPr>
                <w:sz w:val="21"/>
                <w:szCs w:val="21"/>
              </w:rPr>
            </w:pPr>
            <w:r>
              <w:rPr>
                <w:sz w:val="21"/>
                <w:szCs w:val="21"/>
              </w:rPr>
              <w:t>(</w:t>
            </w:r>
            <w:r>
              <w:rPr>
                <w:rFonts w:hint="eastAsia"/>
                <w:sz w:val="21"/>
                <w:szCs w:val="21"/>
              </w:rPr>
              <w:t>3</w:t>
            </w:r>
            <w:r>
              <w:rPr>
                <w:sz w:val="21"/>
                <w:szCs w:val="21"/>
              </w:rPr>
              <w:t>)</w:t>
            </w:r>
            <w:r>
              <w:rPr>
                <w:rFonts w:hint="eastAsia"/>
                <w:sz w:val="21"/>
                <w:szCs w:val="21"/>
              </w:rPr>
              <w:t>逻辑思维：通过一阶暂态电路的学习，锻炼学生的逻辑思维能力，使学生能够系统、有序地分析和解决电路问题</w:t>
            </w:r>
          </w:p>
          <w:p>
            <w:pPr>
              <w:pStyle w:val="2"/>
              <w:rPr>
                <w:sz w:val="21"/>
                <w:szCs w:val="21"/>
              </w:rPr>
            </w:pPr>
            <w:r>
              <w:rPr>
                <w:sz w:val="21"/>
                <w:szCs w:val="21"/>
              </w:rPr>
              <w:t>(</w:t>
            </w:r>
            <w:r>
              <w:rPr>
                <w:rFonts w:hint="eastAsia"/>
                <w:sz w:val="21"/>
                <w:szCs w:val="21"/>
              </w:rPr>
              <w:t>4</w:t>
            </w:r>
            <w:r>
              <w:rPr>
                <w:sz w:val="21"/>
                <w:szCs w:val="21"/>
              </w:rPr>
              <w:t>)</w:t>
            </w:r>
            <w:r>
              <w:rPr>
                <w:rFonts w:hint="eastAsia"/>
                <w:sz w:val="21"/>
                <w:szCs w:val="21"/>
              </w:rPr>
              <w:t>团队协作能力：鼓励学生进行小组学习和讨论，共同解决一阶暂态电路中的复杂问题，培养团队协作能力</w:t>
            </w:r>
          </w:p>
        </w:tc>
        <w:tc>
          <w:tcPr>
            <w:tcW w:w="1637"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pStyle w:val="2"/>
              <w:rPr>
                <w:sz w:val="21"/>
                <w:szCs w:val="21"/>
              </w:rPr>
            </w:pPr>
            <w:r>
              <w:rPr>
                <w:sz w:val="21"/>
                <w:szCs w:val="21"/>
              </w:rPr>
              <w:t>(1)</w:t>
            </w:r>
            <w:r>
              <w:t xml:space="preserve"> </w:t>
            </w:r>
            <w:r>
              <w:rPr>
                <w:sz w:val="21"/>
                <w:szCs w:val="21"/>
              </w:rPr>
              <w:t>(1)一阶暂态电路的基本概念：学生应深入理解一阶暂态电路的定义、组成和工作原理，包括RC和RL电路的基本特性</w:t>
            </w:r>
          </w:p>
          <w:p>
            <w:pPr>
              <w:pStyle w:val="2"/>
              <w:rPr>
                <w:sz w:val="21"/>
                <w:szCs w:val="21"/>
              </w:rPr>
            </w:pPr>
            <w:r>
              <w:rPr>
                <w:sz w:val="21"/>
                <w:szCs w:val="21"/>
              </w:rPr>
              <w:t>(2)换路定则：学生应掌握换路定则及其在暂态电路分析中的应用，了解换路瞬间电路状态的变化规律</w:t>
            </w:r>
          </w:p>
          <w:p>
            <w:pPr>
              <w:pStyle w:val="2"/>
              <w:rPr>
                <w:sz w:val="21"/>
                <w:szCs w:val="21"/>
              </w:rPr>
            </w:pPr>
            <w:r>
              <w:rPr>
                <w:sz w:val="21"/>
                <w:szCs w:val="21"/>
              </w:rPr>
              <w:t>(3)暂态过程的初始值确定：学生应学会如何根据电路在换路瞬间的状态确定暂态过程的初始值，如初始电流和初始电压</w:t>
            </w:r>
          </w:p>
          <w:p>
            <w:pPr>
              <w:pStyle w:val="2"/>
              <w:rPr>
                <w:sz w:val="21"/>
                <w:szCs w:val="21"/>
              </w:rPr>
            </w:pPr>
            <w:r>
              <w:rPr>
                <w:sz w:val="21"/>
                <w:szCs w:val="21"/>
              </w:rPr>
              <w:t>(4)零输入响应、零状态响应和全响应：学生应理解这三种响应的概念，并知道如何分析和计算它们</w:t>
            </w:r>
          </w:p>
          <w:p>
            <w:pPr>
              <w:pStyle w:val="2"/>
              <w:rPr>
                <w:sz w:val="21"/>
                <w:szCs w:val="21"/>
              </w:rPr>
            </w:pPr>
            <w:r>
              <w:rPr>
                <w:sz w:val="21"/>
                <w:szCs w:val="21"/>
              </w:rPr>
              <w:t>(5)一阶电路的暂态响应与时间常数的关系：学生应理解时间常数对一阶电路暂态响应的影响，包括其决定暂态响应的速度和形状</w:t>
            </w:r>
          </w:p>
        </w:tc>
        <w:tc>
          <w:tcPr>
            <w:tcW w:w="1567"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pStyle w:val="2"/>
              <w:rPr>
                <w:sz w:val="21"/>
                <w:szCs w:val="21"/>
              </w:rPr>
            </w:pPr>
            <w:r>
              <w:rPr>
                <w:sz w:val="21"/>
                <w:szCs w:val="21"/>
              </w:rPr>
              <w:t>(1)</w:t>
            </w:r>
            <w:r>
              <w:rPr>
                <w:rFonts w:hint="eastAsia"/>
                <w:sz w:val="21"/>
                <w:szCs w:val="21"/>
              </w:rPr>
              <w:t>分析能力：学生应能够分析一阶暂态电路的工作过程，包括电路在换路瞬间的状态变化、暂态响应的特性和规律等</w:t>
            </w:r>
          </w:p>
          <w:p>
            <w:pPr>
              <w:pStyle w:val="2"/>
              <w:rPr>
                <w:sz w:val="21"/>
                <w:szCs w:val="21"/>
              </w:rPr>
            </w:pPr>
            <w:r>
              <w:rPr>
                <w:sz w:val="21"/>
                <w:szCs w:val="21"/>
              </w:rPr>
              <w:t>(</w:t>
            </w:r>
            <w:r>
              <w:rPr>
                <w:rFonts w:hint="eastAsia"/>
                <w:sz w:val="21"/>
                <w:szCs w:val="21"/>
              </w:rPr>
              <w:t>2</w:t>
            </w:r>
            <w:r>
              <w:rPr>
                <w:sz w:val="21"/>
                <w:szCs w:val="21"/>
              </w:rPr>
              <w:t>)</w:t>
            </w:r>
            <w:r>
              <w:rPr>
                <w:rFonts w:hint="eastAsia"/>
                <w:sz w:val="21"/>
                <w:szCs w:val="21"/>
              </w:rPr>
              <w:t>计算能力：学生应能够应用电路分析方法和定理，计算一阶暂态电路的初始值、时间常数、零输入响应、零状态响应和全响应等</w:t>
            </w:r>
          </w:p>
          <w:p>
            <w:pPr>
              <w:pStyle w:val="2"/>
              <w:rPr>
                <w:sz w:val="21"/>
                <w:szCs w:val="21"/>
              </w:rPr>
            </w:pPr>
            <w:r>
              <w:rPr>
                <w:sz w:val="21"/>
                <w:szCs w:val="21"/>
              </w:rPr>
              <w:t>(</w:t>
            </w:r>
            <w:r>
              <w:rPr>
                <w:rFonts w:hint="eastAsia"/>
                <w:sz w:val="21"/>
                <w:szCs w:val="21"/>
              </w:rPr>
              <w:t>3</w:t>
            </w:r>
            <w:r>
              <w:rPr>
                <w:sz w:val="21"/>
                <w:szCs w:val="21"/>
              </w:rPr>
              <w:t>)</w:t>
            </w:r>
            <w:r>
              <w:rPr>
                <w:rFonts w:hint="eastAsia"/>
                <w:sz w:val="21"/>
                <w:szCs w:val="21"/>
              </w:rPr>
              <w:t>应用能力：学生应能够将所学的知识和方法应用于建筑消防技术的实际问题中，如消防电路的暂态响应分析、故障排查和维修等</w:t>
            </w:r>
          </w:p>
          <w:p>
            <w:pPr>
              <w:pStyle w:val="2"/>
              <w:rPr>
                <w:sz w:val="21"/>
                <w:szCs w:val="21"/>
              </w:rPr>
            </w:pPr>
            <w:r>
              <w:rPr>
                <w:sz w:val="21"/>
                <w:szCs w:val="21"/>
              </w:rPr>
              <w:t>(</w:t>
            </w:r>
            <w:r>
              <w:rPr>
                <w:rFonts w:hint="eastAsia"/>
                <w:sz w:val="21"/>
                <w:szCs w:val="21"/>
              </w:rPr>
              <w:t>4</w:t>
            </w:r>
            <w:r>
              <w:rPr>
                <w:sz w:val="21"/>
                <w:szCs w:val="21"/>
              </w:rPr>
              <w:t>)</w:t>
            </w:r>
            <w:r>
              <w:rPr>
                <w:rFonts w:hint="eastAsia"/>
                <w:sz w:val="21"/>
                <w:szCs w:val="21"/>
              </w:rPr>
              <w:t>创新能力：在掌握基本知识和方法的基础上，学生应具备创新思维和创新能力，能够提出新的观点和解决问题的方法</w:t>
            </w:r>
          </w:p>
          <w:p>
            <w:pPr>
              <w:pStyle w:val="2"/>
              <w:rPr>
                <w:sz w:val="21"/>
                <w:szCs w:val="21"/>
              </w:rPr>
            </w:pPr>
            <w:r>
              <w:rPr>
                <w:sz w:val="21"/>
                <w:szCs w:val="21"/>
              </w:rPr>
              <w:t>(</w:t>
            </w:r>
            <w:r>
              <w:rPr>
                <w:rFonts w:hint="eastAsia"/>
                <w:sz w:val="21"/>
                <w:szCs w:val="21"/>
              </w:rPr>
              <w:t>5</w:t>
            </w:r>
            <w:r>
              <w:rPr>
                <w:sz w:val="21"/>
                <w:szCs w:val="21"/>
              </w:rPr>
              <w:t>)</w:t>
            </w:r>
            <w:r>
              <w:rPr>
                <w:rFonts w:hint="eastAsia"/>
                <w:sz w:val="21"/>
                <w:szCs w:val="21"/>
              </w:rPr>
              <w:t>实践能力：通过实验和实训环节，学生应能够熟练掌握电路实验的基本技能和方法</w:t>
            </w:r>
          </w:p>
        </w:tc>
        <w:tc>
          <w:tcPr>
            <w:tcW w:w="559"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pStyle w:val="2"/>
              <w:jc w:val="center"/>
              <w:rPr>
                <w:sz w:val="21"/>
                <w:szCs w:val="21"/>
              </w:rPr>
            </w:pPr>
            <w:r>
              <w:rPr>
                <w:rFonts w:hint="eastAsia"/>
                <w:sz w:val="21"/>
                <w:szCs w:val="21"/>
              </w:rPr>
              <w:t>6</w:t>
            </w:r>
          </w:p>
        </w:tc>
        <w:tc>
          <w:tcPr>
            <w:tcW w:w="559" w:type="dxa"/>
            <w:tcBorders>
              <w:top w:val="single" w:color="auto" w:sz="4" w:space="0"/>
              <w:left w:val="single" w:color="auto" w:sz="4" w:space="0"/>
              <w:bottom w:val="single" w:color="auto" w:sz="4" w:space="0"/>
              <w:right w:val="single" w:color="000000" w:sz="12" w:space="0"/>
            </w:tcBorders>
            <w:shd w:val="clear" w:color="auto" w:fill="auto"/>
            <w:tcMar>
              <w:top w:w="10" w:type="dxa"/>
              <w:left w:w="10" w:type="dxa"/>
              <w:right w:w="10" w:type="dxa"/>
            </w:tcMar>
            <w:vAlign w:val="center"/>
          </w:tcPr>
          <w:p>
            <w:pPr>
              <w:pStyle w:val="2"/>
              <w:jc w:val="center"/>
              <w:rPr>
                <w:sz w:val="21"/>
                <w:szCs w:val="21"/>
              </w:rPr>
            </w:pPr>
            <w:r>
              <w:rPr>
                <w:rFonts w:hint="eastAsia"/>
                <w:sz w:val="21"/>
                <w:szCs w:val="21"/>
              </w:rPr>
              <w:t>2</w:t>
            </w:r>
          </w:p>
        </w:tc>
      </w:tr>
      <w:tr>
        <w:tblPrEx>
          <w:tblCellMar>
            <w:top w:w="0" w:type="dxa"/>
            <w:left w:w="0" w:type="dxa"/>
            <w:bottom w:w="0" w:type="dxa"/>
            <w:right w:w="0" w:type="dxa"/>
          </w:tblCellMar>
        </w:tblPrEx>
        <w:trPr>
          <w:trHeight w:val="1498" w:hRule="atLeast"/>
        </w:trPr>
        <w:tc>
          <w:tcPr>
            <w:tcW w:w="467" w:type="dxa"/>
            <w:tcBorders>
              <w:top w:val="single" w:color="auto" w:sz="4" w:space="0"/>
              <w:left w:val="single" w:color="000000" w:sz="12" w:space="0"/>
              <w:bottom w:val="single" w:color="auto" w:sz="4" w:space="0"/>
              <w:right w:val="single" w:color="auto" w:sz="4" w:space="0"/>
            </w:tcBorders>
            <w:shd w:val="clear" w:color="auto" w:fill="auto"/>
            <w:tcMar>
              <w:top w:w="10" w:type="dxa"/>
              <w:left w:w="10" w:type="dxa"/>
              <w:right w:w="10" w:type="dxa"/>
            </w:tcMar>
            <w:vAlign w:val="center"/>
          </w:tcPr>
          <w:p>
            <w:pPr>
              <w:pStyle w:val="2"/>
              <w:jc w:val="center"/>
              <w:rPr>
                <w:sz w:val="21"/>
                <w:szCs w:val="21"/>
              </w:rPr>
            </w:pPr>
            <w:r>
              <w:rPr>
                <w:rFonts w:hint="eastAsia"/>
                <w:sz w:val="21"/>
                <w:szCs w:val="21"/>
              </w:rPr>
              <w:t>4</w:t>
            </w:r>
          </w:p>
        </w:tc>
        <w:tc>
          <w:tcPr>
            <w:tcW w:w="1172"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pStyle w:val="2"/>
              <w:jc w:val="center"/>
              <w:rPr>
                <w:sz w:val="21"/>
                <w:szCs w:val="21"/>
              </w:rPr>
            </w:pPr>
            <w:r>
              <w:rPr>
                <w:rFonts w:hint="eastAsia"/>
                <w:sz w:val="21"/>
                <w:szCs w:val="21"/>
              </w:rPr>
              <w:t>正弦稳态电路</w:t>
            </w:r>
          </w:p>
        </w:tc>
        <w:tc>
          <w:tcPr>
            <w:tcW w:w="1495"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pStyle w:val="2"/>
              <w:rPr>
                <w:sz w:val="21"/>
                <w:szCs w:val="21"/>
              </w:rPr>
            </w:pPr>
            <w:r>
              <w:rPr>
                <w:sz w:val="21"/>
                <w:szCs w:val="21"/>
              </w:rPr>
              <w:t>(1)</w:t>
            </w:r>
            <w:r>
              <w:rPr>
                <w:rFonts w:hint="eastAsia"/>
                <w:sz w:val="21"/>
                <w:szCs w:val="21"/>
              </w:rPr>
              <w:t>正弦量的其本概念</w:t>
            </w:r>
          </w:p>
          <w:p>
            <w:pPr>
              <w:pStyle w:val="2"/>
              <w:rPr>
                <w:sz w:val="21"/>
                <w:szCs w:val="21"/>
              </w:rPr>
            </w:pPr>
            <w:r>
              <w:rPr>
                <w:sz w:val="21"/>
                <w:szCs w:val="21"/>
              </w:rPr>
              <w:t>(</w:t>
            </w:r>
            <w:r>
              <w:rPr>
                <w:rFonts w:hint="eastAsia"/>
                <w:sz w:val="21"/>
                <w:szCs w:val="21"/>
              </w:rPr>
              <w:t>2</w:t>
            </w:r>
            <w:r>
              <w:rPr>
                <w:sz w:val="21"/>
                <w:szCs w:val="21"/>
              </w:rPr>
              <w:t>)</w:t>
            </w:r>
            <w:r>
              <w:rPr>
                <w:rFonts w:hint="eastAsia"/>
                <w:sz w:val="21"/>
                <w:szCs w:val="21"/>
              </w:rPr>
              <w:t>正弦量的表示法</w:t>
            </w:r>
          </w:p>
          <w:p>
            <w:pPr>
              <w:pStyle w:val="2"/>
              <w:rPr>
                <w:sz w:val="21"/>
                <w:szCs w:val="21"/>
              </w:rPr>
            </w:pPr>
            <w:r>
              <w:rPr>
                <w:sz w:val="21"/>
                <w:szCs w:val="21"/>
              </w:rPr>
              <w:t>(</w:t>
            </w:r>
            <w:r>
              <w:rPr>
                <w:rFonts w:hint="eastAsia"/>
                <w:sz w:val="21"/>
                <w:szCs w:val="21"/>
              </w:rPr>
              <w:t>3</w:t>
            </w:r>
            <w:r>
              <w:rPr>
                <w:sz w:val="21"/>
                <w:szCs w:val="21"/>
              </w:rPr>
              <w:t>)</w:t>
            </w:r>
            <w:r>
              <w:rPr>
                <w:rFonts w:hint="eastAsia"/>
                <w:sz w:val="21"/>
                <w:szCs w:val="21"/>
              </w:rPr>
              <w:t>某本元件的交流分析</w:t>
            </w:r>
          </w:p>
          <w:p>
            <w:pPr>
              <w:pStyle w:val="2"/>
              <w:rPr>
                <w:sz w:val="21"/>
                <w:szCs w:val="21"/>
              </w:rPr>
            </w:pPr>
            <w:r>
              <w:rPr>
                <w:sz w:val="21"/>
                <w:szCs w:val="21"/>
              </w:rPr>
              <w:t>(</w:t>
            </w:r>
            <w:r>
              <w:rPr>
                <w:rFonts w:hint="eastAsia"/>
                <w:sz w:val="21"/>
                <w:szCs w:val="21"/>
              </w:rPr>
              <w:t>4</w:t>
            </w:r>
            <w:r>
              <w:rPr>
                <w:sz w:val="21"/>
                <w:szCs w:val="21"/>
              </w:rPr>
              <w:t>)</w:t>
            </w:r>
            <w:r>
              <w:rPr>
                <w:rFonts w:hint="eastAsia"/>
                <w:sz w:val="21"/>
                <w:szCs w:val="21"/>
              </w:rPr>
              <w:t>正版稳态用路分析</w:t>
            </w:r>
          </w:p>
          <w:p>
            <w:pPr>
              <w:pStyle w:val="2"/>
              <w:rPr>
                <w:sz w:val="21"/>
                <w:szCs w:val="21"/>
              </w:rPr>
            </w:pPr>
            <w:r>
              <w:rPr>
                <w:sz w:val="21"/>
                <w:szCs w:val="21"/>
              </w:rPr>
              <w:t>(</w:t>
            </w:r>
            <w:r>
              <w:rPr>
                <w:rFonts w:hint="eastAsia"/>
                <w:sz w:val="21"/>
                <w:szCs w:val="21"/>
              </w:rPr>
              <w:t>5</w:t>
            </w:r>
            <w:r>
              <w:rPr>
                <w:sz w:val="21"/>
                <w:szCs w:val="21"/>
              </w:rPr>
              <w:t>)</w:t>
            </w:r>
            <w:r>
              <w:rPr>
                <w:rFonts w:hint="eastAsia"/>
                <w:sz w:val="21"/>
                <w:szCs w:val="21"/>
              </w:rPr>
              <w:t>交流电路的频率特性</w:t>
            </w:r>
          </w:p>
          <w:p>
            <w:pPr>
              <w:pStyle w:val="2"/>
              <w:rPr>
                <w:sz w:val="21"/>
                <w:szCs w:val="21"/>
              </w:rPr>
            </w:pPr>
            <w:r>
              <w:rPr>
                <w:sz w:val="21"/>
                <w:szCs w:val="21"/>
              </w:rPr>
              <w:t>(</w:t>
            </w:r>
            <w:r>
              <w:rPr>
                <w:rFonts w:hint="eastAsia"/>
                <w:sz w:val="21"/>
                <w:szCs w:val="21"/>
              </w:rPr>
              <w:t>6</w:t>
            </w:r>
            <w:r>
              <w:rPr>
                <w:sz w:val="21"/>
                <w:szCs w:val="21"/>
              </w:rPr>
              <w:t>)</w:t>
            </w:r>
            <w:r>
              <w:rPr>
                <w:rFonts w:hint="eastAsia"/>
                <w:sz w:val="21"/>
                <w:szCs w:val="21"/>
              </w:rPr>
              <w:t>谐振电路</w:t>
            </w:r>
          </w:p>
          <w:p>
            <w:pPr>
              <w:pStyle w:val="2"/>
              <w:rPr>
                <w:sz w:val="21"/>
                <w:szCs w:val="21"/>
              </w:rPr>
            </w:pPr>
            <w:r>
              <w:rPr>
                <w:sz w:val="21"/>
                <w:szCs w:val="21"/>
              </w:rPr>
              <w:t>(</w:t>
            </w:r>
            <w:r>
              <w:rPr>
                <w:rFonts w:hint="eastAsia"/>
                <w:sz w:val="21"/>
                <w:szCs w:val="21"/>
              </w:rPr>
              <w:t>7</w:t>
            </w:r>
            <w:r>
              <w:rPr>
                <w:sz w:val="21"/>
                <w:szCs w:val="21"/>
              </w:rPr>
              <w:t>)</w:t>
            </w:r>
            <w:r>
              <w:rPr>
                <w:rFonts w:hint="eastAsia"/>
                <w:sz w:val="21"/>
                <w:szCs w:val="21"/>
              </w:rPr>
              <w:t>非正弦周期信号的频率分析</w:t>
            </w:r>
          </w:p>
        </w:tc>
        <w:tc>
          <w:tcPr>
            <w:tcW w:w="1535"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pStyle w:val="2"/>
              <w:rPr>
                <w:sz w:val="21"/>
                <w:szCs w:val="21"/>
              </w:rPr>
            </w:pPr>
            <w:r>
              <w:rPr>
                <w:sz w:val="21"/>
                <w:szCs w:val="21"/>
              </w:rPr>
              <w:t>(1)</w:t>
            </w:r>
            <w:r>
              <w:rPr>
                <w:rFonts w:hint="eastAsia"/>
                <w:sz w:val="21"/>
                <w:szCs w:val="21"/>
              </w:rPr>
              <w:t>培养严谨的科学态度：通过正弦稳态电路的学习，使学生能够形成严谨、细致的科学态度，对电路分析和计算保持高度的精确性和准确性</w:t>
            </w:r>
          </w:p>
          <w:p>
            <w:pPr>
              <w:pStyle w:val="2"/>
              <w:rPr>
                <w:sz w:val="21"/>
                <w:szCs w:val="21"/>
              </w:rPr>
            </w:pPr>
            <w:r>
              <w:rPr>
                <w:sz w:val="21"/>
                <w:szCs w:val="21"/>
              </w:rPr>
              <w:t>(</w:t>
            </w:r>
            <w:r>
              <w:rPr>
                <w:rFonts w:hint="eastAsia"/>
                <w:sz w:val="21"/>
                <w:szCs w:val="21"/>
              </w:rPr>
              <w:t>2</w:t>
            </w:r>
            <w:r>
              <w:rPr>
                <w:sz w:val="21"/>
                <w:szCs w:val="21"/>
              </w:rPr>
              <w:t>)</w:t>
            </w:r>
            <w:r>
              <w:rPr>
                <w:rFonts w:hint="eastAsia"/>
                <w:sz w:val="21"/>
                <w:szCs w:val="21"/>
              </w:rPr>
              <w:t>提升安全意识：在正弦稳态电路的实验和操作中，学生应严格遵守安全规范，理解并遵守安全用电的原则，预防电气事故的发生</w:t>
            </w:r>
          </w:p>
          <w:p>
            <w:pPr>
              <w:pStyle w:val="2"/>
              <w:rPr>
                <w:sz w:val="21"/>
                <w:szCs w:val="21"/>
              </w:rPr>
            </w:pPr>
            <w:r>
              <w:rPr>
                <w:sz w:val="21"/>
                <w:szCs w:val="21"/>
              </w:rPr>
              <w:t>(</w:t>
            </w:r>
            <w:r>
              <w:rPr>
                <w:rFonts w:hint="eastAsia"/>
                <w:sz w:val="21"/>
                <w:szCs w:val="21"/>
              </w:rPr>
              <w:t>3</w:t>
            </w:r>
            <w:r>
              <w:rPr>
                <w:sz w:val="21"/>
                <w:szCs w:val="21"/>
              </w:rPr>
              <w:t>)</w:t>
            </w:r>
            <w:r>
              <w:rPr>
                <w:rFonts w:hint="eastAsia"/>
                <w:sz w:val="21"/>
                <w:szCs w:val="21"/>
              </w:rPr>
              <w:t>培养创新思维：鼓励学生从多角度、多层面思考正弦稳态电路的问题，培养学生的创新思维和解决问题的能力</w:t>
            </w:r>
          </w:p>
          <w:p>
            <w:pPr>
              <w:pStyle w:val="2"/>
              <w:rPr>
                <w:sz w:val="21"/>
                <w:szCs w:val="21"/>
              </w:rPr>
            </w:pPr>
            <w:r>
              <w:rPr>
                <w:sz w:val="21"/>
                <w:szCs w:val="21"/>
              </w:rPr>
              <w:t>(</w:t>
            </w:r>
            <w:r>
              <w:rPr>
                <w:rFonts w:hint="eastAsia"/>
                <w:sz w:val="21"/>
                <w:szCs w:val="21"/>
              </w:rPr>
              <w:t>4</w:t>
            </w:r>
            <w:r>
              <w:rPr>
                <w:sz w:val="21"/>
                <w:szCs w:val="21"/>
              </w:rPr>
              <w:t>)</w:t>
            </w:r>
            <w:r>
              <w:rPr>
                <w:rFonts w:hint="eastAsia"/>
                <w:sz w:val="21"/>
                <w:szCs w:val="21"/>
              </w:rPr>
              <w:t>增强团队协作能力：通过小组合作学习和项目实践，培养学生的团队协作能力</w:t>
            </w:r>
          </w:p>
        </w:tc>
        <w:tc>
          <w:tcPr>
            <w:tcW w:w="1637"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pStyle w:val="2"/>
              <w:rPr>
                <w:sz w:val="21"/>
                <w:szCs w:val="21"/>
              </w:rPr>
            </w:pPr>
            <w:r>
              <w:rPr>
                <w:sz w:val="21"/>
                <w:szCs w:val="21"/>
              </w:rPr>
              <w:t>(1)</w:t>
            </w:r>
            <w:r>
              <w:rPr>
                <w:rFonts w:hint="eastAsia"/>
                <w:sz w:val="21"/>
                <w:szCs w:val="21"/>
              </w:rPr>
              <w:t>理解正弦稳态电路的基本概念：学生应掌握正弦稳态电路的定义、特点以及基本组成，理解正弦稳态电路在实际电路中的应用</w:t>
            </w:r>
          </w:p>
          <w:p>
            <w:pPr>
              <w:pStyle w:val="2"/>
              <w:rPr>
                <w:sz w:val="21"/>
                <w:szCs w:val="21"/>
              </w:rPr>
            </w:pPr>
            <w:r>
              <w:rPr>
                <w:sz w:val="21"/>
                <w:szCs w:val="21"/>
              </w:rPr>
              <w:t>(</w:t>
            </w:r>
            <w:r>
              <w:rPr>
                <w:rFonts w:hint="eastAsia"/>
                <w:sz w:val="21"/>
                <w:szCs w:val="21"/>
              </w:rPr>
              <w:t>2</w:t>
            </w:r>
            <w:r>
              <w:rPr>
                <w:sz w:val="21"/>
                <w:szCs w:val="21"/>
              </w:rPr>
              <w:t>)</w:t>
            </w:r>
            <w:r>
              <w:rPr>
                <w:rFonts w:hint="eastAsia"/>
                <w:sz w:val="21"/>
                <w:szCs w:val="21"/>
              </w:rPr>
              <w:t>掌握正弦稳态电路的分析方法：学生应学习并掌握正弦稳态电路的分析方法，如相量法、阻抗法等，并能够运用这些方法对正弦稳态电路进行分析和计算</w:t>
            </w:r>
            <w:r>
              <w:rPr>
                <w:sz w:val="21"/>
                <w:szCs w:val="21"/>
              </w:rPr>
              <w:t>(</w:t>
            </w:r>
            <w:r>
              <w:rPr>
                <w:rFonts w:hint="eastAsia"/>
                <w:sz w:val="21"/>
                <w:szCs w:val="21"/>
              </w:rPr>
              <w:t>3</w:t>
            </w:r>
            <w:r>
              <w:rPr>
                <w:sz w:val="21"/>
                <w:szCs w:val="21"/>
              </w:rPr>
              <w:t>)</w:t>
            </w:r>
            <w:r>
              <w:rPr>
                <w:rFonts w:hint="eastAsia"/>
                <w:sz w:val="21"/>
                <w:szCs w:val="21"/>
              </w:rPr>
              <w:t>了解正弦稳态电路中的元件特性：学生应了解正弦稳态电路中电阻、电感、电容等元件的特性，以及它们在电路中的作用和影响</w:t>
            </w:r>
          </w:p>
        </w:tc>
        <w:tc>
          <w:tcPr>
            <w:tcW w:w="1567"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pStyle w:val="2"/>
              <w:rPr>
                <w:sz w:val="21"/>
                <w:szCs w:val="21"/>
              </w:rPr>
            </w:pPr>
            <w:r>
              <w:rPr>
                <w:sz w:val="21"/>
                <w:szCs w:val="21"/>
              </w:rPr>
              <w:t>(1)</w:t>
            </w:r>
            <w:r>
              <w:rPr>
                <w:rFonts w:hint="eastAsia"/>
                <w:sz w:val="21"/>
                <w:szCs w:val="21"/>
              </w:rPr>
              <w:t>分析能力：学生应能够运用所学知识对正弦稳态电路进行准确的分析，理解电路的工作原理和特性，并能够预测电路的行为</w:t>
            </w:r>
          </w:p>
          <w:p>
            <w:pPr>
              <w:pStyle w:val="2"/>
              <w:rPr>
                <w:sz w:val="21"/>
                <w:szCs w:val="21"/>
              </w:rPr>
            </w:pPr>
            <w:r>
              <w:rPr>
                <w:sz w:val="21"/>
                <w:szCs w:val="21"/>
              </w:rPr>
              <w:t>(</w:t>
            </w:r>
            <w:r>
              <w:rPr>
                <w:rFonts w:hint="eastAsia"/>
                <w:sz w:val="21"/>
                <w:szCs w:val="21"/>
              </w:rPr>
              <w:t>2</w:t>
            </w:r>
            <w:r>
              <w:rPr>
                <w:sz w:val="21"/>
                <w:szCs w:val="21"/>
              </w:rPr>
              <w:t>)</w:t>
            </w:r>
            <w:r>
              <w:rPr>
                <w:rFonts w:hint="eastAsia"/>
                <w:sz w:val="21"/>
                <w:szCs w:val="21"/>
              </w:rPr>
              <w:t>计算能力：学生应能够运用数学知识和电路分析方法对正弦稳态电路进行计算，包括电压、电流、功率等参数的计算</w:t>
            </w:r>
          </w:p>
          <w:p>
            <w:pPr>
              <w:pStyle w:val="2"/>
              <w:rPr>
                <w:sz w:val="21"/>
                <w:szCs w:val="21"/>
              </w:rPr>
            </w:pPr>
            <w:r>
              <w:rPr>
                <w:sz w:val="21"/>
                <w:szCs w:val="21"/>
              </w:rPr>
              <w:t>(</w:t>
            </w:r>
            <w:r>
              <w:rPr>
                <w:rFonts w:hint="eastAsia"/>
                <w:sz w:val="21"/>
                <w:szCs w:val="21"/>
              </w:rPr>
              <w:t>3</w:t>
            </w:r>
            <w:r>
              <w:rPr>
                <w:sz w:val="21"/>
                <w:szCs w:val="21"/>
              </w:rPr>
              <w:t>)</w:t>
            </w:r>
            <w:r>
              <w:rPr>
                <w:rFonts w:hint="eastAsia"/>
                <w:sz w:val="21"/>
                <w:szCs w:val="21"/>
              </w:rPr>
              <w:t>实验技能：通过实验和实训环节，学生应掌握正弦稳态电路的实验技能和操作方法</w:t>
            </w:r>
          </w:p>
          <w:p>
            <w:pPr>
              <w:pStyle w:val="2"/>
              <w:rPr>
                <w:sz w:val="21"/>
                <w:szCs w:val="21"/>
              </w:rPr>
            </w:pPr>
            <w:r>
              <w:rPr>
                <w:sz w:val="21"/>
                <w:szCs w:val="21"/>
              </w:rPr>
              <w:t>(</w:t>
            </w:r>
            <w:r>
              <w:rPr>
                <w:rFonts w:hint="eastAsia"/>
                <w:sz w:val="21"/>
                <w:szCs w:val="21"/>
              </w:rPr>
              <w:t>4</w:t>
            </w:r>
            <w:r>
              <w:rPr>
                <w:sz w:val="21"/>
                <w:szCs w:val="21"/>
              </w:rPr>
              <w:t>)</w:t>
            </w:r>
            <w:r>
              <w:rPr>
                <w:rFonts w:hint="eastAsia"/>
                <w:sz w:val="21"/>
                <w:szCs w:val="21"/>
              </w:rPr>
              <w:t>应用能力：学生应能够将所学知识应用于实际电路中，如建筑消防系统中的电气设计和电路分析等，解决实际电路中的问题</w:t>
            </w:r>
          </w:p>
        </w:tc>
        <w:tc>
          <w:tcPr>
            <w:tcW w:w="559"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pStyle w:val="2"/>
              <w:jc w:val="center"/>
              <w:rPr>
                <w:sz w:val="21"/>
                <w:szCs w:val="21"/>
              </w:rPr>
            </w:pPr>
            <w:r>
              <w:rPr>
                <w:rFonts w:hint="eastAsia"/>
                <w:sz w:val="21"/>
                <w:szCs w:val="21"/>
              </w:rPr>
              <w:t>6</w:t>
            </w:r>
          </w:p>
        </w:tc>
        <w:tc>
          <w:tcPr>
            <w:tcW w:w="559" w:type="dxa"/>
            <w:tcBorders>
              <w:top w:val="single" w:color="auto" w:sz="4" w:space="0"/>
              <w:left w:val="single" w:color="auto" w:sz="4" w:space="0"/>
              <w:bottom w:val="single" w:color="auto" w:sz="4" w:space="0"/>
              <w:right w:val="single" w:color="000000" w:sz="12" w:space="0"/>
            </w:tcBorders>
            <w:shd w:val="clear" w:color="auto" w:fill="auto"/>
            <w:tcMar>
              <w:top w:w="10" w:type="dxa"/>
              <w:left w:w="10" w:type="dxa"/>
              <w:right w:w="10" w:type="dxa"/>
            </w:tcMar>
            <w:vAlign w:val="center"/>
          </w:tcPr>
          <w:p>
            <w:pPr>
              <w:pStyle w:val="2"/>
              <w:jc w:val="center"/>
              <w:rPr>
                <w:sz w:val="21"/>
                <w:szCs w:val="21"/>
              </w:rPr>
            </w:pPr>
            <w:r>
              <w:rPr>
                <w:rFonts w:hint="eastAsia"/>
                <w:sz w:val="21"/>
                <w:szCs w:val="21"/>
              </w:rPr>
              <w:t>2</w:t>
            </w:r>
          </w:p>
        </w:tc>
      </w:tr>
      <w:tr>
        <w:tblPrEx>
          <w:tblCellMar>
            <w:top w:w="0" w:type="dxa"/>
            <w:left w:w="0" w:type="dxa"/>
            <w:bottom w:w="0" w:type="dxa"/>
            <w:right w:w="0" w:type="dxa"/>
          </w:tblCellMar>
        </w:tblPrEx>
        <w:trPr>
          <w:trHeight w:val="10185" w:hRule="exact"/>
        </w:trPr>
        <w:tc>
          <w:tcPr>
            <w:tcW w:w="467" w:type="dxa"/>
            <w:tcBorders>
              <w:top w:val="single" w:color="auto" w:sz="4" w:space="0"/>
              <w:left w:val="single" w:color="000000" w:sz="12" w:space="0"/>
              <w:bottom w:val="single" w:color="auto" w:sz="4" w:space="0"/>
              <w:right w:val="single" w:color="auto" w:sz="4" w:space="0"/>
            </w:tcBorders>
            <w:shd w:val="clear" w:color="auto" w:fill="auto"/>
            <w:tcMar>
              <w:top w:w="10" w:type="dxa"/>
              <w:left w:w="10" w:type="dxa"/>
              <w:right w:w="10" w:type="dxa"/>
            </w:tcMar>
            <w:vAlign w:val="center"/>
          </w:tcPr>
          <w:p>
            <w:pPr>
              <w:pStyle w:val="2"/>
              <w:jc w:val="center"/>
              <w:rPr>
                <w:sz w:val="21"/>
                <w:szCs w:val="21"/>
              </w:rPr>
            </w:pPr>
            <w:r>
              <w:rPr>
                <w:rFonts w:hint="eastAsia"/>
                <w:sz w:val="21"/>
                <w:szCs w:val="21"/>
              </w:rPr>
              <w:t>5</w:t>
            </w:r>
          </w:p>
        </w:tc>
        <w:tc>
          <w:tcPr>
            <w:tcW w:w="1172"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pStyle w:val="2"/>
              <w:jc w:val="center"/>
              <w:rPr>
                <w:sz w:val="21"/>
                <w:szCs w:val="21"/>
              </w:rPr>
            </w:pPr>
            <w:r>
              <w:rPr>
                <w:rFonts w:hint="eastAsia"/>
                <w:sz w:val="21"/>
                <w:szCs w:val="21"/>
              </w:rPr>
              <w:t>三相交流电路</w:t>
            </w:r>
          </w:p>
        </w:tc>
        <w:tc>
          <w:tcPr>
            <w:tcW w:w="1495"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pStyle w:val="2"/>
              <w:rPr>
                <w:sz w:val="21"/>
                <w:szCs w:val="21"/>
              </w:rPr>
            </w:pPr>
            <w:r>
              <w:rPr>
                <w:sz w:val="21"/>
                <w:szCs w:val="21"/>
              </w:rPr>
              <w:t>(1)</w:t>
            </w:r>
            <w:r>
              <w:rPr>
                <w:rFonts w:hint="eastAsia"/>
                <w:sz w:val="21"/>
                <w:szCs w:val="21"/>
              </w:rPr>
              <w:t>三相交流电源</w:t>
            </w:r>
          </w:p>
          <w:p>
            <w:pPr>
              <w:pStyle w:val="2"/>
              <w:rPr>
                <w:sz w:val="21"/>
                <w:szCs w:val="21"/>
              </w:rPr>
            </w:pPr>
            <w:r>
              <w:rPr>
                <w:sz w:val="21"/>
                <w:szCs w:val="21"/>
              </w:rPr>
              <w:t>(</w:t>
            </w:r>
            <w:r>
              <w:rPr>
                <w:rFonts w:hint="eastAsia"/>
                <w:sz w:val="21"/>
                <w:szCs w:val="21"/>
              </w:rPr>
              <w:t>2</w:t>
            </w:r>
            <w:r>
              <w:rPr>
                <w:sz w:val="21"/>
                <w:szCs w:val="21"/>
              </w:rPr>
              <w:t>)</w:t>
            </w:r>
            <w:r>
              <w:rPr>
                <w:rFonts w:hint="eastAsia"/>
                <w:sz w:val="21"/>
                <w:szCs w:val="21"/>
              </w:rPr>
              <w:t>三相负载的连接</w:t>
            </w:r>
          </w:p>
          <w:p>
            <w:pPr>
              <w:pStyle w:val="2"/>
              <w:rPr>
                <w:sz w:val="21"/>
                <w:szCs w:val="21"/>
              </w:rPr>
            </w:pPr>
            <w:r>
              <w:rPr>
                <w:sz w:val="21"/>
                <w:szCs w:val="21"/>
              </w:rPr>
              <w:t>(</w:t>
            </w:r>
            <w:r>
              <w:rPr>
                <w:rFonts w:hint="eastAsia"/>
                <w:sz w:val="21"/>
                <w:szCs w:val="21"/>
              </w:rPr>
              <w:t>3</w:t>
            </w:r>
            <w:r>
              <w:rPr>
                <w:sz w:val="21"/>
                <w:szCs w:val="21"/>
              </w:rPr>
              <w:t>)</w:t>
            </w:r>
            <w:r>
              <w:rPr>
                <w:rFonts w:hint="eastAsia"/>
                <w:sz w:val="21"/>
                <w:szCs w:val="21"/>
              </w:rPr>
              <w:t>对称三相电路的计算</w:t>
            </w:r>
          </w:p>
          <w:p>
            <w:pPr>
              <w:pStyle w:val="2"/>
              <w:rPr>
                <w:sz w:val="21"/>
                <w:szCs w:val="21"/>
              </w:rPr>
            </w:pPr>
            <w:r>
              <w:rPr>
                <w:sz w:val="21"/>
                <w:szCs w:val="21"/>
              </w:rPr>
              <w:t>(</w:t>
            </w:r>
            <w:r>
              <w:rPr>
                <w:rFonts w:hint="eastAsia"/>
                <w:sz w:val="21"/>
                <w:szCs w:val="21"/>
              </w:rPr>
              <w:t>4</w:t>
            </w:r>
            <w:r>
              <w:rPr>
                <w:sz w:val="21"/>
                <w:szCs w:val="21"/>
              </w:rPr>
              <w:t>)</w:t>
            </w:r>
            <w:r>
              <w:rPr>
                <w:rFonts w:hint="eastAsia"/>
                <w:sz w:val="21"/>
                <w:szCs w:val="21"/>
              </w:rPr>
              <w:t>不对称三相电路的计算</w:t>
            </w:r>
          </w:p>
          <w:p>
            <w:pPr>
              <w:pStyle w:val="2"/>
              <w:rPr>
                <w:sz w:val="21"/>
                <w:szCs w:val="21"/>
              </w:rPr>
            </w:pPr>
            <w:r>
              <w:rPr>
                <w:sz w:val="21"/>
                <w:szCs w:val="21"/>
              </w:rPr>
              <w:t>(</w:t>
            </w:r>
            <w:r>
              <w:rPr>
                <w:rFonts w:hint="eastAsia"/>
                <w:sz w:val="21"/>
                <w:szCs w:val="21"/>
              </w:rPr>
              <w:t>5</w:t>
            </w:r>
            <w:r>
              <w:rPr>
                <w:sz w:val="21"/>
                <w:szCs w:val="21"/>
              </w:rPr>
              <w:t>)</w:t>
            </w:r>
            <w:r>
              <w:rPr>
                <w:rFonts w:hint="eastAsia"/>
              </w:rPr>
              <w:t>三</w:t>
            </w:r>
            <w:r>
              <w:rPr>
                <w:sz w:val="21"/>
                <w:szCs w:val="21"/>
              </w:rPr>
              <w:t>相路的功</w:t>
            </w:r>
          </w:p>
        </w:tc>
        <w:tc>
          <w:tcPr>
            <w:tcW w:w="1535"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pStyle w:val="2"/>
              <w:rPr>
                <w:sz w:val="21"/>
                <w:szCs w:val="21"/>
              </w:rPr>
            </w:pPr>
            <w:r>
              <w:rPr>
                <w:sz w:val="21"/>
                <w:szCs w:val="21"/>
              </w:rPr>
              <w:t>(1)</w:t>
            </w:r>
            <w:r>
              <w:rPr>
                <w:rFonts w:hint="eastAsia"/>
                <w:sz w:val="21"/>
                <w:szCs w:val="21"/>
              </w:rPr>
              <w:t>安全意识：培养学生的安全意识，使其了解三相交流电路在建筑消防系统中的重要性，并理解错误操作可能带来的严重后果</w:t>
            </w:r>
          </w:p>
          <w:p>
            <w:pPr>
              <w:pStyle w:val="2"/>
              <w:rPr>
                <w:sz w:val="21"/>
                <w:szCs w:val="21"/>
              </w:rPr>
            </w:pPr>
            <w:r>
              <w:rPr>
                <w:sz w:val="21"/>
                <w:szCs w:val="21"/>
              </w:rPr>
              <w:t>(</w:t>
            </w:r>
            <w:r>
              <w:rPr>
                <w:rFonts w:hint="eastAsia"/>
                <w:sz w:val="21"/>
                <w:szCs w:val="21"/>
              </w:rPr>
              <w:t>2</w:t>
            </w:r>
            <w:r>
              <w:rPr>
                <w:sz w:val="21"/>
                <w:szCs w:val="21"/>
              </w:rPr>
              <w:t>)</w:t>
            </w:r>
            <w:r>
              <w:rPr>
                <w:rFonts w:hint="eastAsia"/>
                <w:sz w:val="21"/>
                <w:szCs w:val="21"/>
              </w:rPr>
              <w:t>团队协作：鼓励学生进行团队合作，通过共同学习和解决三相交流电路中的问题，培养其团队协作能力</w:t>
            </w:r>
          </w:p>
          <w:p>
            <w:pPr>
              <w:pStyle w:val="2"/>
              <w:rPr>
                <w:sz w:val="21"/>
                <w:szCs w:val="21"/>
              </w:rPr>
            </w:pPr>
            <w:r>
              <w:rPr>
                <w:sz w:val="21"/>
                <w:szCs w:val="21"/>
              </w:rPr>
              <w:t>(</w:t>
            </w:r>
            <w:r>
              <w:rPr>
                <w:rFonts w:hint="eastAsia"/>
                <w:sz w:val="21"/>
                <w:szCs w:val="21"/>
              </w:rPr>
              <w:t>3</w:t>
            </w:r>
            <w:r>
              <w:rPr>
                <w:sz w:val="21"/>
                <w:szCs w:val="21"/>
              </w:rPr>
              <w:t>)</w:t>
            </w:r>
            <w:r>
              <w:rPr>
                <w:rFonts w:hint="eastAsia"/>
                <w:sz w:val="21"/>
                <w:szCs w:val="21"/>
              </w:rPr>
              <w:t>职业道德：引导学生理解电工职业的道德规范，明确在建筑消防系统中电工的职责和使命，培养其职业道德素养</w:t>
            </w:r>
          </w:p>
        </w:tc>
        <w:tc>
          <w:tcPr>
            <w:tcW w:w="1637"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pStyle w:val="2"/>
              <w:rPr>
                <w:sz w:val="21"/>
                <w:szCs w:val="21"/>
              </w:rPr>
            </w:pPr>
            <w:r>
              <w:rPr>
                <w:sz w:val="21"/>
                <w:szCs w:val="21"/>
              </w:rPr>
              <w:t>(1)</w:t>
            </w:r>
            <w:r>
              <w:rPr>
                <w:rFonts w:hint="eastAsia"/>
                <w:sz w:val="21"/>
                <w:szCs w:val="21"/>
              </w:rPr>
              <w:t>三相交流电路基本概念：学生应掌握三相交流电路的基本原理，包括三相电源的定义、三相电压和电流的产生、相序的概念等</w:t>
            </w:r>
          </w:p>
          <w:p>
            <w:pPr>
              <w:pStyle w:val="2"/>
              <w:rPr>
                <w:sz w:val="21"/>
                <w:szCs w:val="21"/>
              </w:rPr>
            </w:pPr>
            <w:r>
              <w:rPr>
                <w:sz w:val="21"/>
                <w:szCs w:val="21"/>
              </w:rPr>
              <w:t>(</w:t>
            </w:r>
            <w:r>
              <w:rPr>
                <w:rFonts w:hint="eastAsia"/>
                <w:sz w:val="21"/>
                <w:szCs w:val="21"/>
              </w:rPr>
              <w:t>2</w:t>
            </w:r>
            <w:r>
              <w:rPr>
                <w:sz w:val="21"/>
                <w:szCs w:val="21"/>
              </w:rPr>
              <w:t>)</w:t>
            </w:r>
            <w:r>
              <w:rPr>
                <w:rFonts w:hint="eastAsia"/>
                <w:sz w:val="21"/>
                <w:szCs w:val="21"/>
              </w:rPr>
              <w:t>连接方式：学生应理解三相交流电路的连接方式，包括星形连接（</w:t>
            </w:r>
            <w:r>
              <w:rPr>
                <w:sz w:val="21"/>
                <w:szCs w:val="21"/>
              </w:rPr>
              <w:t>Y形）和三角形连接（△形），以及它们之间的区别和优缺点</w:t>
            </w:r>
          </w:p>
          <w:p>
            <w:pPr>
              <w:pStyle w:val="2"/>
              <w:rPr>
                <w:sz w:val="21"/>
                <w:szCs w:val="21"/>
              </w:rPr>
            </w:pPr>
            <w:r>
              <w:rPr>
                <w:sz w:val="21"/>
                <w:szCs w:val="21"/>
              </w:rPr>
              <w:t>(</w:t>
            </w:r>
            <w:r>
              <w:rPr>
                <w:rFonts w:hint="eastAsia"/>
                <w:sz w:val="21"/>
                <w:szCs w:val="21"/>
              </w:rPr>
              <w:t>3</w:t>
            </w:r>
            <w:r>
              <w:rPr>
                <w:sz w:val="21"/>
                <w:szCs w:val="21"/>
              </w:rPr>
              <w:t>)</w:t>
            </w:r>
            <w:r>
              <w:rPr>
                <w:rFonts w:hint="eastAsia"/>
                <w:sz w:val="21"/>
                <w:szCs w:val="21"/>
              </w:rPr>
              <w:t>三相负载：学生应了解三相负载的特性和分类，包括对称三相负载和不对称三相负载，以及它们对电路性能的影响</w:t>
            </w:r>
          </w:p>
          <w:p>
            <w:pPr>
              <w:pStyle w:val="2"/>
              <w:rPr>
                <w:sz w:val="21"/>
                <w:szCs w:val="21"/>
              </w:rPr>
            </w:pPr>
            <w:r>
              <w:rPr>
                <w:sz w:val="21"/>
                <w:szCs w:val="21"/>
              </w:rPr>
              <w:t>(</w:t>
            </w:r>
            <w:r>
              <w:rPr>
                <w:rFonts w:hint="eastAsia"/>
                <w:sz w:val="21"/>
                <w:szCs w:val="21"/>
              </w:rPr>
              <w:t>4</w:t>
            </w:r>
            <w:r>
              <w:rPr>
                <w:sz w:val="21"/>
                <w:szCs w:val="21"/>
              </w:rPr>
              <w:t>)</w:t>
            </w:r>
            <w:r>
              <w:rPr>
                <w:rFonts w:hint="eastAsia"/>
                <w:sz w:val="21"/>
                <w:szCs w:val="21"/>
              </w:rPr>
              <w:t>计算方法：学生应掌握三相交流电路的计算方法，包括对称三相电路的计算、不对称三相电路的分析等</w:t>
            </w:r>
          </w:p>
        </w:tc>
        <w:tc>
          <w:tcPr>
            <w:tcW w:w="1567"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pStyle w:val="2"/>
              <w:rPr>
                <w:sz w:val="21"/>
                <w:szCs w:val="21"/>
              </w:rPr>
            </w:pPr>
            <w:r>
              <w:rPr>
                <w:sz w:val="21"/>
                <w:szCs w:val="21"/>
              </w:rPr>
              <w:t>(1)</w:t>
            </w:r>
            <w:r>
              <w:rPr>
                <w:rFonts w:hint="eastAsia"/>
                <w:sz w:val="21"/>
                <w:szCs w:val="21"/>
              </w:rPr>
              <w:t>识图与绘图：学生能够读懂并绘制三相交流电路图，包括电源的连接方式、负载的配置等</w:t>
            </w:r>
          </w:p>
          <w:p>
            <w:pPr>
              <w:pStyle w:val="2"/>
              <w:rPr>
                <w:sz w:val="21"/>
                <w:szCs w:val="21"/>
              </w:rPr>
            </w:pPr>
            <w:r>
              <w:rPr>
                <w:sz w:val="21"/>
                <w:szCs w:val="21"/>
              </w:rPr>
              <w:t>(</w:t>
            </w:r>
            <w:r>
              <w:rPr>
                <w:rFonts w:hint="eastAsia"/>
                <w:sz w:val="21"/>
                <w:szCs w:val="21"/>
              </w:rPr>
              <w:t>2</w:t>
            </w:r>
            <w:r>
              <w:rPr>
                <w:sz w:val="21"/>
                <w:szCs w:val="21"/>
              </w:rPr>
              <w:t>)</w:t>
            </w:r>
            <w:r>
              <w:rPr>
                <w:rFonts w:hint="eastAsia"/>
                <w:sz w:val="21"/>
                <w:szCs w:val="21"/>
              </w:rPr>
              <w:t>选择与应用：学生应能够根据实际需要选择合适的三相电源和连接方式，以及合理配置三相负载</w:t>
            </w:r>
          </w:p>
          <w:p>
            <w:pPr>
              <w:pStyle w:val="2"/>
              <w:rPr>
                <w:sz w:val="21"/>
                <w:szCs w:val="21"/>
              </w:rPr>
            </w:pPr>
            <w:r>
              <w:rPr>
                <w:sz w:val="21"/>
                <w:szCs w:val="21"/>
              </w:rPr>
              <w:t>(</w:t>
            </w:r>
            <w:r>
              <w:rPr>
                <w:rFonts w:hint="eastAsia"/>
                <w:sz w:val="21"/>
                <w:szCs w:val="21"/>
              </w:rPr>
              <w:t>3</w:t>
            </w:r>
            <w:r>
              <w:rPr>
                <w:sz w:val="21"/>
                <w:szCs w:val="21"/>
              </w:rPr>
              <w:t>)</w:t>
            </w:r>
            <w:r>
              <w:rPr>
                <w:rFonts w:hint="eastAsia"/>
                <w:sz w:val="21"/>
                <w:szCs w:val="21"/>
              </w:rPr>
              <w:t>分析与计算：学生能够进行简单的三相交流电路分析和计算，包括电压、电流、功率等参数的计算</w:t>
            </w:r>
          </w:p>
          <w:p>
            <w:pPr>
              <w:pStyle w:val="2"/>
              <w:rPr>
                <w:sz w:val="21"/>
                <w:szCs w:val="21"/>
              </w:rPr>
            </w:pPr>
            <w:r>
              <w:rPr>
                <w:sz w:val="21"/>
                <w:szCs w:val="21"/>
              </w:rPr>
              <w:t>(</w:t>
            </w:r>
            <w:r>
              <w:rPr>
                <w:rFonts w:hint="eastAsia"/>
                <w:sz w:val="21"/>
                <w:szCs w:val="21"/>
              </w:rPr>
              <w:t>4</w:t>
            </w:r>
            <w:r>
              <w:rPr>
                <w:sz w:val="21"/>
                <w:szCs w:val="21"/>
              </w:rPr>
              <w:t>)</w:t>
            </w:r>
            <w:r>
              <w:rPr>
                <w:rFonts w:hint="eastAsia"/>
                <w:sz w:val="21"/>
                <w:szCs w:val="21"/>
              </w:rPr>
              <w:t>故障排查与维修：学生应能够进行三相交流电路的故障排查和维修，包括查找故障点、分析故障原因、进行故障修复等</w:t>
            </w:r>
          </w:p>
        </w:tc>
        <w:tc>
          <w:tcPr>
            <w:tcW w:w="559"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pStyle w:val="2"/>
              <w:jc w:val="center"/>
              <w:rPr>
                <w:sz w:val="21"/>
                <w:szCs w:val="21"/>
              </w:rPr>
            </w:pPr>
            <w:r>
              <w:rPr>
                <w:rFonts w:hint="eastAsia"/>
                <w:sz w:val="21"/>
                <w:szCs w:val="21"/>
              </w:rPr>
              <w:t>6</w:t>
            </w:r>
          </w:p>
        </w:tc>
        <w:tc>
          <w:tcPr>
            <w:tcW w:w="559" w:type="dxa"/>
            <w:tcBorders>
              <w:top w:val="single" w:color="auto" w:sz="4" w:space="0"/>
              <w:left w:val="single" w:color="auto" w:sz="4" w:space="0"/>
              <w:bottom w:val="single" w:color="auto" w:sz="4" w:space="0"/>
              <w:right w:val="single" w:color="000000" w:sz="12" w:space="0"/>
            </w:tcBorders>
            <w:shd w:val="clear" w:color="auto" w:fill="auto"/>
            <w:tcMar>
              <w:top w:w="10" w:type="dxa"/>
              <w:left w:w="10" w:type="dxa"/>
              <w:right w:w="10" w:type="dxa"/>
            </w:tcMar>
            <w:vAlign w:val="center"/>
          </w:tcPr>
          <w:p>
            <w:pPr>
              <w:pStyle w:val="2"/>
              <w:jc w:val="center"/>
              <w:rPr>
                <w:sz w:val="21"/>
                <w:szCs w:val="21"/>
              </w:rPr>
            </w:pPr>
            <w:r>
              <w:rPr>
                <w:rFonts w:hint="eastAsia"/>
                <w:sz w:val="21"/>
                <w:szCs w:val="21"/>
              </w:rPr>
              <w:t>2</w:t>
            </w:r>
          </w:p>
        </w:tc>
      </w:tr>
      <w:tr>
        <w:tblPrEx>
          <w:tblCellMar>
            <w:top w:w="0" w:type="dxa"/>
            <w:left w:w="0" w:type="dxa"/>
            <w:bottom w:w="0" w:type="dxa"/>
            <w:right w:w="0" w:type="dxa"/>
          </w:tblCellMar>
        </w:tblPrEx>
        <w:trPr>
          <w:trHeight w:val="4900" w:hRule="atLeast"/>
        </w:trPr>
        <w:tc>
          <w:tcPr>
            <w:tcW w:w="467" w:type="dxa"/>
            <w:tcBorders>
              <w:top w:val="single" w:color="auto" w:sz="4" w:space="0"/>
              <w:left w:val="single" w:color="000000" w:sz="12" w:space="0"/>
              <w:bottom w:val="single" w:color="auto" w:sz="4" w:space="0"/>
              <w:right w:val="single" w:color="auto" w:sz="4" w:space="0"/>
            </w:tcBorders>
            <w:shd w:val="clear" w:color="auto" w:fill="auto"/>
            <w:tcMar>
              <w:top w:w="10" w:type="dxa"/>
              <w:left w:w="10" w:type="dxa"/>
              <w:right w:w="10" w:type="dxa"/>
            </w:tcMar>
            <w:vAlign w:val="center"/>
          </w:tcPr>
          <w:p>
            <w:pPr>
              <w:pStyle w:val="2"/>
              <w:jc w:val="center"/>
              <w:rPr>
                <w:sz w:val="21"/>
                <w:szCs w:val="21"/>
              </w:rPr>
            </w:pPr>
            <w:r>
              <w:rPr>
                <w:rFonts w:hint="eastAsia"/>
                <w:sz w:val="21"/>
                <w:szCs w:val="21"/>
              </w:rPr>
              <w:t>6</w:t>
            </w:r>
          </w:p>
        </w:tc>
        <w:tc>
          <w:tcPr>
            <w:tcW w:w="1172"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pStyle w:val="2"/>
              <w:jc w:val="center"/>
              <w:rPr>
                <w:sz w:val="21"/>
                <w:szCs w:val="21"/>
              </w:rPr>
            </w:pPr>
            <w:r>
              <w:rPr>
                <w:rFonts w:hint="eastAsia"/>
                <w:sz w:val="21"/>
                <w:szCs w:val="21"/>
              </w:rPr>
              <w:t>耦合电感和理想变压器</w:t>
            </w:r>
          </w:p>
        </w:tc>
        <w:tc>
          <w:tcPr>
            <w:tcW w:w="1495"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pStyle w:val="2"/>
              <w:rPr>
                <w:sz w:val="21"/>
                <w:szCs w:val="21"/>
              </w:rPr>
            </w:pPr>
            <w:r>
              <w:rPr>
                <w:sz w:val="21"/>
                <w:szCs w:val="21"/>
              </w:rPr>
              <w:t>(1)</w:t>
            </w:r>
            <w:r>
              <w:rPr>
                <w:rFonts w:hint="eastAsia"/>
                <w:sz w:val="21"/>
                <w:szCs w:val="21"/>
              </w:rPr>
              <w:t>互感</w:t>
            </w:r>
            <w:r>
              <w:rPr>
                <w:sz w:val="21"/>
                <w:szCs w:val="21"/>
              </w:rPr>
              <w:t>及万威电压</w:t>
            </w:r>
          </w:p>
          <w:p>
            <w:pPr>
              <w:pStyle w:val="2"/>
              <w:rPr>
                <w:sz w:val="21"/>
                <w:szCs w:val="21"/>
              </w:rPr>
            </w:pPr>
            <w:r>
              <w:rPr>
                <w:sz w:val="21"/>
                <w:szCs w:val="21"/>
              </w:rPr>
              <w:t>(</w:t>
            </w:r>
            <w:r>
              <w:rPr>
                <w:rFonts w:hint="eastAsia"/>
                <w:sz w:val="21"/>
                <w:szCs w:val="21"/>
              </w:rPr>
              <w:t>2</w:t>
            </w:r>
            <w:r>
              <w:rPr>
                <w:sz w:val="21"/>
                <w:szCs w:val="21"/>
              </w:rPr>
              <w:t>)</w:t>
            </w:r>
            <w:r>
              <w:rPr>
                <w:rFonts w:hint="eastAsia"/>
                <w:sz w:val="21"/>
                <w:szCs w:val="21"/>
              </w:rPr>
              <w:t>互感线圈的连接及去耦等效电路</w:t>
            </w:r>
          </w:p>
          <w:p>
            <w:pPr>
              <w:pStyle w:val="2"/>
              <w:rPr>
                <w:sz w:val="21"/>
                <w:szCs w:val="21"/>
              </w:rPr>
            </w:pPr>
            <w:r>
              <w:rPr>
                <w:sz w:val="21"/>
                <w:szCs w:val="21"/>
              </w:rPr>
              <w:t>(</w:t>
            </w:r>
            <w:r>
              <w:rPr>
                <w:rFonts w:hint="eastAsia"/>
                <w:sz w:val="21"/>
                <w:szCs w:val="21"/>
              </w:rPr>
              <w:t>3</w:t>
            </w:r>
            <w:r>
              <w:rPr>
                <w:sz w:val="21"/>
                <w:szCs w:val="21"/>
              </w:rPr>
              <w:t>)</w:t>
            </w:r>
            <w:r>
              <w:rPr>
                <w:rFonts w:hint="eastAsia"/>
                <w:sz w:val="21"/>
                <w:szCs w:val="21"/>
              </w:rPr>
              <w:t>空心变压器</w:t>
            </w:r>
          </w:p>
          <w:p>
            <w:pPr>
              <w:pStyle w:val="2"/>
              <w:rPr>
                <w:sz w:val="21"/>
                <w:szCs w:val="21"/>
              </w:rPr>
            </w:pPr>
            <w:r>
              <w:rPr>
                <w:sz w:val="21"/>
                <w:szCs w:val="21"/>
              </w:rPr>
              <w:t>(</w:t>
            </w:r>
            <w:r>
              <w:rPr>
                <w:rFonts w:hint="eastAsia"/>
                <w:sz w:val="21"/>
                <w:szCs w:val="21"/>
              </w:rPr>
              <w:t>4</w:t>
            </w:r>
            <w:r>
              <w:rPr>
                <w:sz w:val="21"/>
                <w:szCs w:val="21"/>
              </w:rPr>
              <w:t>)</w:t>
            </w:r>
            <w:r>
              <w:rPr>
                <w:rFonts w:hint="eastAsia"/>
                <w:sz w:val="21"/>
                <w:szCs w:val="21"/>
              </w:rPr>
              <w:t>理想恋乐器</w:t>
            </w:r>
          </w:p>
        </w:tc>
        <w:tc>
          <w:tcPr>
            <w:tcW w:w="1535"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pStyle w:val="2"/>
              <w:rPr>
                <w:sz w:val="21"/>
                <w:szCs w:val="21"/>
              </w:rPr>
            </w:pPr>
            <w:r>
              <w:rPr>
                <w:sz w:val="21"/>
                <w:szCs w:val="21"/>
              </w:rPr>
              <w:t>(1)</w:t>
            </w:r>
            <w:r>
              <w:rPr>
                <w:rFonts w:hint="eastAsia"/>
                <w:sz w:val="21"/>
                <w:szCs w:val="21"/>
              </w:rPr>
              <w:t>安全意识：培养学生对耦合电感和理想变压器在电路中应用的安全意识，了解其在建筑消防系统中的关键作用，以及不当操作可能带来的严重后果</w:t>
            </w:r>
          </w:p>
          <w:p>
            <w:pPr>
              <w:pStyle w:val="2"/>
              <w:rPr>
                <w:sz w:val="21"/>
                <w:szCs w:val="21"/>
              </w:rPr>
            </w:pPr>
            <w:r>
              <w:rPr>
                <w:sz w:val="21"/>
                <w:szCs w:val="21"/>
              </w:rPr>
              <w:t>(</w:t>
            </w:r>
            <w:r>
              <w:rPr>
                <w:rFonts w:hint="eastAsia"/>
                <w:sz w:val="21"/>
                <w:szCs w:val="21"/>
              </w:rPr>
              <w:t>2</w:t>
            </w:r>
            <w:r>
              <w:rPr>
                <w:sz w:val="21"/>
                <w:szCs w:val="21"/>
              </w:rPr>
              <w:t>)</w:t>
            </w:r>
            <w:r>
              <w:rPr>
                <w:rFonts w:hint="eastAsia"/>
                <w:sz w:val="21"/>
                <w:szCs w:val="21"/>
              </w:rPr>
              <w:t>科学探究精神：激发学生对耦合电感和理想变压器原理的探究兴趣，培养其独立思考和解决问题的能力</w:t>
            </w:r>
          </w:p>
          <w:p>
            <w:pPr>
              <w:pStyle w:val="2"/>
              <w:rPr>
                <w:sz w:val="21"/>
                <w:szCs w:val="21"/>
              </w:rPr>
            </w:pPr>
            <w:r>
              <w:rPr>
                <w:sz w:val="21"/>
                <w:szCs w:val="21"/>
              </w:rPr>
              <w:t>(</w:t>
            </w:r>
            <w:r>
              <w:rPr>
                <w:rFonts w:hint="eastAsia"/>
                <w:sz w:val="21"/>
                <w:szCs w:val="21"/>
              </w:rPr>
              <w:t>3</w:t>
            </w:r>
            <w:r>
              <w:rPr>
                <w:sz w:val="21"/>
                <w:szCs w:val="21"/>
              </w:rPr>
              <w:t>)</w:t>
            </w:r>
            <w:r>
              <w:rPr>
                <w:rFonts w:hint="eastAsia"/>
                <w:sz w:val="21"/>
                <w:szCs w:val="21"/>
              </w:rPr>
              <w:t>职业道德：引导学生理解电工职业的道德规范，强调在处理耦合电感和理想变压器相关问题时的职业操守和责任感</w:t>
            </w:r>
          </w:p>
        </w:tc>
        <w:tc>
          <w:tcPr>
            <w:tcW w:w="1637"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pStyle w:val="2"/>
              <w:rPr>
                <w:sz w:val="21"/>
                <w:szCs w:val="21"/>
              </w:rPr>
            </w:pPr>
            <w:r>
              <w:rPr>
                <w:sz w:val="21"/>
                <w:szCs w:val="21"/>
              </w:rPr>
              <w:t>(1)</w:t>
            </w:r>
            <w:r>
              <w:rPr>
                <w:rFonts w:hint="eastAsia"/>
                <w:sz w:val="21"/>
                <w:szCs w:val="21"/>
              </w:rPr>
              <w:t>基本概念：掌握耦合电感和理想变压器的基本概念、定义、工作原理和特性</w:t>
            </w:r>
          </w:p>
          <w:p>
            <w:pPr>
              <w:pStyle w:val="2"/>
              <w:rPr>
                <w:sz w:val="21"/>
                <w:szCs w:val="21"/>
              </w:rPr>
            </w:pPr>
            <w:r>
              <w:rPr>
                <w:sz w:val="21"/>
                <w:szCs w:val="21"/>
              </w:rPr>
              <w:t>(</w:t>
            </w:r>
            <w:r>
              <w:rPr>
                <w:rFonts w:hint="eastAsia"/>
                <w:sz w:val="21"/>
                <w:szCs w:val="21"/>
              </w:rPr>
              <w:t>2</w:t>
            </w:r>
            <w:r>
              <w:rPr>
                <w:sz w:val="21"/>
                <w:szCs w:val="21"/>
              </w:rPr>
              <w:t>)</w:t>
            </w:r>
            <w:r>
              <w:rPr>
                <w:rFonts w:hint="eastAsia"/>
                <w:sz w:val="21"/>
                <w:szCs w:val="21"/>
              </w:rPr>
              <w:t>互感原理：理解互感现象，掌握同名端的定义和判别方法，以及互感系数的计算方法</w:t>
            </w:r>
          </w:p>
          <w:p>
            <w:pPr>
              <w:pStyle w:val="2"/>
              <w:rPr>
                <w:sz w:val="21"/>
                <w:szCs w:val="21"/>
              </w:rPr>
            </w:pPr>
            <w:r>
              <w:rPr>
                <w:sz w:val="21"/>
                <w:szCs w:val="21"/>
              </w:rPr>
              <w:t>(</w:t>
            </w:r>
            <w:r>
              <w:rPr>
                <w:rFonts w:hint="eastAsia"/>
                <w:sz w:val="21"/>
                <w:szCs w:val="21"/>
              </w:rPr>
              <w:t>3</w:t>
            </w:r>
            <w:r>
              <w:rPr>
                <w:sz w:val="21"/>
                <w:szCs w:val="21"/>
              </w:rPr>
              <w:t>)</w:t>
            </w:r>
            <w:r>
              <w:rPr>
                <w:rFonts w:hint="eastAsia"/>
                <w:sz w:val="21"/>
                <w:szCs w:val="21"/>
              </w:rPr>
              <w:t>理想变压器特性：理解理想变压器的理想化条件，掌握其电压变换、电流变换、阻抗变换等基本特性</w:t>
            </w:r>
          </w:p>
          <w:p>
            <w:pPr>
              <w:pStyle w:val="2"/>
              <w:rPr>
                <w:sz w:val="21"/>
                <w:szCs w:val="21"/>
              </w:rPr>
            </w:pPr>
            <w:r>
              <w:rPr>
                <w:sz w:val="21"/>
                <w:szCs w:val="21"/>
              </w:rPr>
              <w:t>(</w:t>
            </w:r>
            <w:r>
              <w:rPr>
                <w:rFonts w:hint="eastAsia"/>
                <w:sz w:val="21"/>
                <w:szCs w:val="21"/>
              </w:rPr>
              <w:t>4</w:t>
            </w:r>
            <w:r>
              <w:rPr>
                <w:sz w:val="21"/>
                <w:szCs w:val="21"/>
              </w:rPr>
              <w:t>)</w:t>
            </w:r>
            <w:r>
              <w:rPr>
                <w:rFonts w:hint="eastAsia"/>
                <w:sz w:val="21"/>
                <w:szCs w:val="21"/>
              </w:rPr>
              <w:t>电路分析方法：熟悉含有耦合电感和理想变压器的电路分析方法，包括电源模型等效、去耦等效、初次级等效等</w:t>
            </w:r>
          </w:p>
        </w:tc>
        <w:tc>
          <w:tcPr>
            <w:tcW w:w="1567"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pStyle w:val="2"/>
              <w:rPr>
                <w:sz w:val="21"/>
                <w:szCs w:val="21"/>
              </w:rPr>
            </w:pPr>
            <w:r>
              <w:rPr>
                <w:sz w:val="21"/>
                <w:szCs w:val="21"/>
              </w:rPr>
              <w:t>(1)</w:t>
            </w:r>
            <w:r>
              <w:rPr>
                <w:rFonts w:hint="eastAsia"/>
                <w:sz w:val="21"/>
                <w:szCs w:val="21"/>
              </w:rPr>
              <w:t>识图与绘图：能够读懂并绘制含有耦合电感和理想变压器的电路图，理解各元件之间的连接方式和相互作用</w:t>
            </w:r>
          </w:p>
          <w:p>
            <w:pPr>
              <w:pStyle w:val="2"/>
              <w:rPr>
                <w:sz w:val="21"/>
                <w:szCs w:val="21"/>
              </w:rPr>
            </w:pPr>
            <w:r>
              <w:rPr>
                <w:sz w:val="21"/>
                <w:szCs w:val="21"/>
              </w:rPr>
              <w:t>(</w:t>
            </w:r>
            <w:r>
              <w:rPr>
                <w:rFonts w:hint="eastAsia"/>
                <w:sz w:val="21"/>
                <w:szCs w:val="21"/>
              </w:rPr>
              <w:t>2</w:t>
            </w:r>
            <w:r>
              <w:rPr>
                <w:sz w:val="21"/>
                <w:szCs w:val="21"/>
              </w:rPr>
              <w:t>)</w:t>
            </w:r>
            <w:r>
              <w:rPr>
                <w:rFonts w:hint="eastAsia"/>
                <w:sz w:val="21"/>
                <w:szCs w:val="21"/>
              </w:rPr>
              <w:t>分析与计算：能够对含有耦合电感和理想变压器的电路进行分析和计算，包括电压、电流、功率等参数的计算</w:t>
            </w:r>
          </w:p>
          <w:p>
            <w:pPr>
              <w:pStyle w:val="2"/>
              <w:rPr>
                <w:sz w:val="21"/>
                <w:szCs w:val="21"/>
              </w:rPr>
            </w:pPr>
            <w:r>
              <w:rPr>
                <w:sz w:val="21"/>
                <w:szCs w:val="21"/>
              </w:rPr>
              <w:t>(</w:t>
            </w:r>
            <w:r>
              <w:rPr>
                <w:rFonts w:hint="eastAsia"/>
                <w:sz w:val="21"/>
                <w:szCs w:val="21"/>
              </w:rPr>
              <w:t>3</w:t>
            </w:r>
            <w:r>
              <w:rPr>
                <w:sz w:val="21"/>
                <w:szCs w:val="21"/>
              </w:rPr>
              <w:t>)</w:t>
            </w:r>
            <w:r>
              <w:rPr>
                <w:rFonts w:hint="eastAsia"/>
                <w:sz w:val="21"/>
                <w:szCs w:val="21"/>
              </w:rPr>
              <w:t>实验技能：掌握耦合电感和理想变压器的实验方法，能够正确搭建实验电路，观察实验现象，分析实验结果</w:t>
            </w:r>
          </w:p>
          <w:p>
            <w:pPr>
              <w:pStyle w:val="2"/>
              <w:rPr>
                <w:sz w:val="21"/>
                <w:szCs w:val="21"/>
              </w:rPr>
            </w:pPr>
            <w:r>
              <w:rPr>
                <w:sz w:val="21"/>
                <w:szCs w:val="21"/>
              </w:rPr>
              <w:t>(</w:t>
            </w:r>
            <w:r>
              <w:rPr>
                <w:rFonts w:hint="eastAsia"/>
                <w:sz w:val="21"/>
                <w:szCs w:val="21"/>
              </w:rPr>
              <w:t>4</w:t>
            </w:r>
            <w:r>
              <w:rPr>
                <w:sz w:val="21"/>
                <w:szCs w:val="21"/>
              </w:rPr>
              <w:t>)</w:t>
            </w:r>
            <w:r>
              <w:rPr>
                <w:rFonts w:hint="eastAsia"/>
                <w:sz w:val="21"/>
                <w:szCs w:val="21"/>
              </w:rPr>
              <w:t>故障排查与维修：能够对含有耦合电感和理想变压器的电路进行故障排查和维修，包括查找故障点、分析故障原因、进行故障修复等</w:t>
            </w:r>
          </w:p>
        </w:tc>
        <w:tc>
          <w:tcPr>
            <w:tcW w:w="559"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pStyle w:val="2"/>
              <w:jc w:val="center"/>
              <w:rPr>
                <w:sz w:val="21"/>
                <w:szCs w:val="21"/>
              </w:rPr>
            </w:pPr>
            <w:r>
              <w:rPr>
                <w:rFonts w:hint="eastAsia"/>
                <w:sz w:val="21"/>
                <w:szCs w:val="21"/>
              </w:rPr>
              <w:t>6</w:t>
            </w:r>
          </w:p>
        </w:tc>
        <w:tc>
          <w:tcPr>
            <w:tcW w:w="559" w:type="dxa"/>
            <w:tcBorders>
              <w:top w:val="single" w:color="auto" w:sz="4" w:space="0"/>
              <w:left w:val="single" w:color="auto" w:sz="4" w:space="0"/>
              <w:bottom w:val="single" w:color="auto" w:sz="4" w:space="0"/>
              <w:right w:val="single" w:color="000000" w:sz="12" w:space="0"/>
            </w:tcBorders>
            <w:shd w:val="clear" w:color="auto" w:fill="auto"/>
            <w:tcMar>
              <w:top w:w="10" w:type="dxa"/>
              <w:left w:w="10" w:type="dxa"/>
              <w:right w:w="10" w:type="dxa"/>
            </w:tcMar>
            <w:vAlign w:val="center"/>
          </w:tcPr>
          <w:p>
            <w:pPr>
              <w:pStyle w:val="2"/>
              <w:jc w:val="center"/>
              <w:rPr>
                <w:sz w:val="21"/>
                <w:szCs w:val="21"/>
              </w:rPr>
            </w:pPr>
            <w:r>
              <w:rPr>
                <w:rFonts w:hint="eastAsia"/>
                <w:sz w:val="21"/>
                <w:szCs w:val="21"/>
              </w:rPr>
              <w:t>2</w:t>
            </w:r>
          </w:p>
        </w:tc>
      </w:tr>
      <w:tr>
        <w:tblPrEx>
          <w:tblCellMar>
            <w:top w:w="0" w:type="dxa"/>
            <w:left w:w="0" w:type="dxa"/>
            <w:bottom w:w="0" w:type="dxa"/>
            <w:right w:w="0" w:type="dxa"/>
          </w:tblCellMar>
        </w:tblPrEx>
        <w:trPr>
          <w:trHeight w:val="436" w:hRule="atLeast"/>
        </w:trPr>
        <w:tc>
          <w:tcPr>
            <w:tcW w:w="467" w:type="dxa"/>
            <w:tcBorders>
              <w:top w:val="single" w:color="auto" w:sz="4" w:space="0"/>
              <w:left w:val="single" w:color="000000" w:sz="12" w:space="0"/>
              <w:bottom w:val="single" w:color="auto" w:sz="4" w:space="0"/>
              <w:right w:val="single" w:color="auto" w:sz="4" w:space="0"/>
            </w:tcBorders>
            <w:shd w:val="clear" w:color="auto" w:fill="auto"/>
            <w:tcMar>
              <w:top w:w="10" w:type="dxa"/>
              <w:left w:w="10" w:type="dxa"/>
              <w:right w:w="10" w:type="dxa"/>
            </w:tcMar>
            <w:vAlign w:val="center"/>
          </w:tcPr>
          <w:p>
            <w:pPr>
              <w:pStyle w:val="2"/>
              <w:jc w:val="center"/>
              <w:rPr>
                <w:sz w:val="21"/>
                <w:szCs w:val="21"/>
              </w:rPr>
            </w:pPr>
            <w:r>
              <w:rPr>
                <w:rFonts w:hint="eastAsia"/>
                <w:sz w:val="21"/>
                <w:szCs w:val="21"/>
              </w:rPr>
              <w:t>7</w:t>
            </w:r>
          </w:p>
        </w:tc>
        <w:tc>
          <w:tcPr>
            <w:tcW w:w="1172"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pStyle w:val="2"/>
              <w:jc w:val="center"/>
              <w:rPr>
                <w:sz w:val="21"/>
                <w:szCs w:val="21"/>
              </w:rPr>
            </w:pPr>
            <w:r>
              <w:rPr>
                <w:rFonts w:hint="eastAsia"/>
                <w:sz w:val="21"/>
                <w:szCs w:val="21"/>
              </w:rPr>
              <w:t>磁路与变压器</w:t>
            </w:r>
          </w:p>
        </w:tc>
        <w:tc>
          <w:tcPr>
            <w:tcW w:w="1495"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pStyle w:val="2"/>
              <w:rPr>
                <w:sz w:val="21"/>
                <w:szCs w:val="21"/>
              </w:rPr>
            </w:pPr>
            <w:r>
              <w:rPr>
                <w:sz w:val="21"/>
                <w:szCs w:val="21"/>
              </w:rPr>
              <w:t>(1)</w:t>
            </w:r>
            <w:r>
              <w:rPr>
                <w:rFonts w:hint="eastAsia"/>
                <w:sz w:val="21"/>
                <w:szCs w:val="21"/>
              </w:rPr>
              <w:t>磁路分析</w:t>
            </w:r>
          </w:p>
          <w:p>
            <w:pPr>
              <w:pStyle w:val="2"/>
              <w:rPr>
                <w:sz w:val="21"/>
                <w:szCs w:val="21"/>
              </w:rPr>
            </w:pPr>
            <w:r>
              <w:rPr>
                <w:sz w:val="21"/>
                <w:szCs w:val="21"/>
              </w:rPr>
              <w:t>(</w:t>
            </w:r>
            <w:r>
              <w:rPr>
                <w:rFonts w:hint="eastAsia"/>
                <w:sz w:val="21"/>
                <w:szCs w:val="21"/>
              </w:rPr>
              <w:t>2</w:t>
            </w:r>
            <w:r>
              <w:rPr>
                <w:sz w:val="21"/>
                <w:szCs w:val="21"/>
              </w:rPr>
              <w:t>)</w:t>
            </w:r>
            <w:r>
              <w:rPr>
                <w:rFonts w:hint="eastAsia"/>
                <w:sz w:val="21"/>
                <w:szCs w:val="21"/>
              </w:rPr>
              <w:t>交流铁芯线圈电路</w:t>
            </w:r>
          </w:p>
          <w:p>
            <w:pPr>
              <w:pStyle w:val="2"/>
              <w:rPr>
                <w:sz w:val="21"/>
                <w:szCs w:val="21"/>
              </w:rPr>
            </w:pPr>
            <w:r>
              <w:rPr>
                <w:sz w:val="21"/>
                <w:szCs w:val="21"/>
              </w:rPr>
              <w:t>(</w:t>
            </w:r>
            <w:r>
              <w:rPr>
                <w:rFonts w:hint="eastAsia"/>
                <w:sz w:val="21"/>
                <w:szCs w:val="21"/>
              </w:rPr>
              <w:t>3</w:t>
            </w:r>
            <w:r>
              <w:rPr>
                <w:sz w:val="21"/>
                <w:szCs w:val="21"/>
              </w:rPr>
              <w:t>)</w:t>
            </w:r>
            <w:r>
              <w:rPr>
                <w:rFonts w:hint="eastAsia"/>
                <w:sz w:val="21"/>
                <w:szCs w:val="21"/>
              </w:rPr>
              <w:t>变压器原理</w:t>
            </w:r>
          </w:p>
          <w:p>
            <w:pPr>
              <w:pStyle w:val="2"/>
              <w:rPr>
                <w:sz w:val="21"/>
                <w:szCs w:val="21"/>
              </w:rPr>
            </w:pPr>
            <w:r>
              <w:rPr>
                <w:sz w:val="21"/>
                <w:szCs w:val="21"/>
              </w:rPr>
              <w:t>(</w:t>
            </w:r>
            <w:r>
              <w:rPr>
                <w:rFonts w:hint="eastAsia"/>
                <w:sz w:val="21"/>
                <w:szCs w:val="21"/>
              </w:rPr>
              <w:t>4</w:t>
            </w:r>
            <w:r>
              <w:rPr>
                <w:sz w:val="21"/>
                <w:szCs w:val="21"/>
              </w:rPr>
              <w:t>)</w:t>
            </w:r>
            <w:r>
              <w:rPr>
                <w:rFonts w:hint="eastAsia"/>
                <w:sz w:val="21"/>
                <w:szCs w:val="21"/>
              </w:rPr>
              <w:t>电磁铁</w:t>
            </w:r>
          </w:p>
        </w:tc>
        <w:tc>
          <w:tcPr>
            <w:tcW w:w="1535"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pStyle w:val="2"/>
              <w:rPr>
                <w:sz w:val="21"/>
                <w:szCs w:val="21"/>
              </w:rPr>
            </w:pPr>
            <w:r>
              <w:rPr>
                <w:rFonts w:hint="eastAsia"/>
                <w:sz w:val="21"/>
                <w:szCs w:val="21"/>
              </w:rPr>
              <w:t>(1)安全意识：培养学生的安全意识，让他们理解磁路与变压器在建筑消防系统中的重要性和安全操作的必要性</w:t>
            </w:r>
          </w:p>
          <w:p>
            <w:pPr>
              <w:pStyle w:val="2"/>
              <w:rPr>
                <w:sz w:val="21"/>
                <w:szCs w:val="21"/>
              </w:rPr>
            </w:pPr>
            <w:r>
              <w:rPr>
                <w:sz w:val="21"/>
                <w:szCs w:val="21"/>
              </w:rPr>
              <w:t>(</w:t>
            </w:r>
            <w:r>
              <w:rPr>
                <w:rFonts w:hint="eastAsia"/>
                <w:sz w:val="21"/>
                <w:szCs w:val="21"/>
              </w:rPr>
              <w:t>2</w:t>
            </w:r>
            <w:r>
              <w:rPr>
                <w:sz w:val="21"/>
                <w:szCs w:val="21"/>
              </w:rPr>
              <w:t>)</w:t>
            </w:r>
            <w:r>
              <w:rPr>
                <w:rFonts w:hint="eastAsia"/>
                <w:sz w:val="21"/>
                <w:szCs w:val="21"/>
              </w:rPr>
              <w:t>科学探索精神：激发学生对磁路与变压器工作原理的探究兴趣，鼓励他们主动学习和解决问题</w:t>
            </w:r>
          </w:p>
          <w:p>
            <w:pPr>
              <w:pStyle w:val="2"/>
              <w:rPr>
                <w:sz w:val="21"/>
                <w:szCs w:val="21"/>
              </w:rPr>
            </w:pPr>
            <w:r>
              <w:rPr>
                <w:sz w:val="21"/>
                <w:szCs w:val="21"/>
              </w:rPr>
              <w:t>(</w:t>
            </w:r>
            <w:r>
              <w:rPr>
                <w:rFonts w:hint="eastAsia"/>
                <w:sz w:val="21"/>
                <w:szCs w:val="21"/>
              </w:rPr>
              <w:t>3</w:t>
            </w:r>
            <w:r>
              <w:rPr>
                <w:sz w:val="21"/>
                <w:szCs w:val="21"/>
              </w:rPr>
              <w:t>)</w:t>
            </w:r>
            <w:r>
              <w:rPr>
                <w:rFonts w:hint="eastAsia"/>
                <w:sz w:val="21"/>
                <w:szCs w:val="21"/>
              </w:rPr>
              <w:t>职业道德：引导学生理解电工职业道德规范，特别是与磁路与变压器相关的安全、可靠和高效的职业要求</w:t>
            </w:r>
          </w:p>
        </w:tc>
        <w:tc>
          <w:tcPr>
            <w:tcW w:w="1637"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pStyle w:val="2"/>
              <w:rPr>
                <w:sz w:val="21"/>
                <w:szCs w:val="21"/>
              </w:rPr>
            </w:pPr>
            <w:r>
              <w:rPr>
                <w:rFonts w:hint="eastAsia"/>
                <w:sz w:val="21"/>
                <w:szCs w:val="21"/>
              </w:rPr>
              <w:t>(1)磁路基础知识：掌握磁路的基本概念、磁感应强度、磁通量、磁导率等基础知识</w:t>
            </w:r>
          </w:p>
          <w:p>
            <w:pPr>
              <w:pStyle w:val="2"/>
              <w:rPr>
                <w:sz w:val="21"/>
                <w:szCs w:val="21"/>
              </w:rPr>
            </w:pPr>
            <w:r>
              <w:rPr>
                <w:sz w:val="21"/>
                <w:szCs w:val="21"/>
              </w:rPr>
              <w:t>(</w:t>
            </w:r>
            <w:r>
              <w:rPr>
                <w:rFonts w:hint="eastAsia"/>
                <w:sz w:val="21"/>
                <w:szCs w:val="21"/>
              </w:rPr>
              <w:t>2</w:t>
            </w:r>
            <w:r>
              <w:rPr>
                <w:sz w:val="21"/>
                <w:szCs w:val="21"/>
              </w:rPr>
              <w:t>)</w:t>
            </w:r>
            <w:r>
              <w:rPr>
                <w:rFonts w:hint="eastAsia"/>
                <w:sz w:val="21"/>
                <w:szCs w:val="21"/>
              </w:rPr>
              <w:t>变压器原理：理解变压器的工作原理，包括互感耦合、电压变换、电流变换和阻抗变换等基本概念</w:t>
            </w:r>
          </w:p>
          <w:p>
            <w:pPr>
              <w:pStyle w:val="2"/>
              <w:rPr>
                <w:sz w:val="21"/>
                <w:szCs w:val="21"/>
              </w:rPr>
            </w:pPr>
            <w:r>
              <w:rPr>
                <w:sz w:val="21"/>
                <w:szCs w:val="21"/>
              </w:rPr>
              <w:t>(</w:t>
            </w:r>
            <w:r>
              <w:rPr>
                <w:rFonts w:hint="eastAsia"/>
                <w:sz w:val="21"/>
                <w:szCs w:val="21"/>
              </w:rPr>
              <w:t>3</w:t>
            </w:r>
            <w:r>
              <w:rPr>
                <w:sz w:val="21"/>
                <w:szCs w:val="21"/>
              </w:rPr>
              <w:t>)</w:t>
            </w:r>
            <w:r>
              <w:rPr>
                <w:rFonts w:hint="eastAsia"/>
                <w:sz w:val="21"/>
                <w:szCs w:val="21"/>
              </w:rPr>
              <w:t>变压器类型与结构：了解不同类型的变压器（如电源变压器、隔离变压器等）及其结构特点</w:t>
            </w:r>
          </w:p>
          <w:p>
            <w:pPr>
              <w:pStyle w:val="2"/>
              <w:rPr>
                <w:sz w:val="21"/>
                <w:szCs w:val="21"/>
              </w:rPr>
            </w:pPr>
            <w:r>
              <w:rPr>
                <w:sz w:val="21"/>
                <w:szCs w:val="21"/>
              </w:rPr>
              <w:t>(</w:t>
            </w:r>
            <w:r>
              <w:rPr>
                <w:rFonts w:hint="eastAsia"/>
                <w:sz w:val="21"/>
                <w:szCs w:val="21"/>
              </w:rPr>
              <w:t>4</w:t>
            </w:r>
            <w:r>
              <w:rPr>
                <w:sz w:val="21"/>
                <w:szCs w:val="21"/>
              </w:rPr>
              <w:t>)</w:t>
            </w:r>
            <w:r>
              <w:rPr>
                <w:rFonts w:hint="eastAsia"/>
                <w:sz w:val="21"/>
                <w:szCs w:val="21"/>
              </w:rPr>
              <w:t>磁滞与损耗：了解磁滞现象和磁路损耗的原因及其对变压器性能的影响</w:t>
            </w:r>
          </w:p>
        </w:tc>
        <w:tc>
          <w:tcPr>
            <w:tcW w:w="1567"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pStyle w:val="2"/>
              <w:rPr>
                <w:sz w:val="21"/>
                <w:szCs w:val="21"/>
              </w:rPr>
            </w:pPr>
            <w:r>
              <w:rPr>
                <w:rFonts w:hint="eastAsia"/>
                <w:sz w:val="21"/>
                <w:szCs w:val="21"/>
              </w:rPr>
              <w:t>(1)识图与分析：能够读懂并分析磁路与变压器的电路图，理解其工作原理和特性</w:t>
            </w:r>
          </w:p>
          <w:p>
            <w:pPr>
              <w:pStyle w:val="2"/>
              <w:rPr>
                <w:sz w:val="21"/>
                <w:szCs w:val="21"/>
              </w:rPr>
            </w:pPr>
            <w:r>
              <w:rPr>
                <w:sz w:val="21"/>
                <w:szCs w:val="21"/>
              </w:rPr>
              <w:t>(</w:t>
            </w:r>
            <w:r>
              <w:rPr>
                <w:rFonts w:hint="eastAsia"/>
                <w:sz w:val="21"/>
                <w:szCs w:val="21"/>
              </w:rPr>
              <w:t>2</w:t>
            </w:r>
            <w:r>
              <w:rPr>
                <w:sz w:val="21"/>
                <w:szCs w:val="21"/>
              </w:rPr>
              <w:t>)</w:t>
            </w:r>
            <w:r>
              <w:rPr>
                <w:rFonts w:hint="eastAsia"/>
                <w:sz w:val="21"/>
                <w:szCs w:val="21"/>
              </w:rPr>
              <w:t>设计与计算：能够设计简单的磁路与变压器电路，并进行相关参数的计算，如电压、电流、功率等</w:t>
            </w:r>
          </w:p>
          <w:p>
            <w:pPr>
              <w:pStyle w:val="2"/>
              <w:rPr>
                <w:sz w:val="21"/>
                <w:szCs w:val="21"/>
              </w:rPr>
            </w:pPr>
            <w:r>
              <w:rPr>
                <w:sz w:val="21"/>
                <w:szCs w:val="21"/>
              </w:rPr>
              <w:t>(</w:t>
            </w:r>
            <w:r>
              <w:rPr>
                <w:rFonts w:hint="eastAsia"/>
                <w:sz w:val="21"/>
                <w:szCs w:val="21"/>
              </w:rPr>
              <w:t>3</w:t>
            </w:r>
            <w:r>
              <w:rPr>
                <w:sz w:val="21"/>
                <w:szCs w:val="21"/>
              </w:rPr>
              <w:t>)</w:t>
            </w:r>
            <w:r>
              <w:rPr>
                <w:rFonts w:hint="eastAsia"/>
                <w:sz w:val="21"/>
                <w:szCs w:val="21"/>
              </w:rPr>
              <w:t>实验操作：能够正确搭建磁路与变压器的实验电路，观察实验现象，分析实验结果，并撰写实验报告</w:t>
            </w:r>
          </w:p>
          <w:p>
            <w:pPr>
              <w:pStyle w:val="2"/>
              <w:rPr>
                <w:sz w:val="21"/>
                <w:szCs w:val="21"/>
              </w:rPr>
            </w:pPr>
            <w:r>
              <w:rPr>
                <w:sz w:val="21"/>
                <w:szCs w:val="21"/>
              </w:rPr>
              <w:t>(</w:t>
            </w:r>
            <w:r>
              <w:rPr>
                <w:rFonts w:hint="eastAsia"/>
                <w:sz w:val="21"/>
                <w:szCs w:val="21"/>
              </w:rPr>
              <w:t>4</w:t>
            </w:r>
            <w:r>
              <w:rPr>
                <w:sz w:val="21"/>
                <w:szCs w:val="21"/>
              </w:rPr>
              <w:t>)</w:t>
            </w:r>
            <w:r>
              <w:rPr>
                <w:rFonts w:hint="eastAsia"/>
                <w:sz w:val="21"/>
                <w:szCs w:val="21"/>
              </w:rPr>
              <w:t>故障排查与维修：能够对磁路与变压器电路进行故障排查和维修，包括识别故障点、分析故障原因和进行故障修复</w:t>
            </w:r>
          </w:p>
        </w:tc>
        <w:tc>
          <w:tcPr>
            <w:tcW w:w="559"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pStyle w:val="2"/>
              <w:jc w:val="center"/>
              <w:rPr>
                <w:sz w:val="21"/>
                <w:szCs w:val="21"/>
              </w:rPr>
            </w:pPr>
            <w:r>
              <w:rPr>
                <w:rFonts w:hint="eastAsia"/>
                <w:sz w:val="21"/>
                <w:szCs w:val="21"/>
              </w:rPr>
              <w:t>6</w:t>
            </w:r>
          </w:p>
        </w:tc>
        <w:tc>
          <w:tcPr>
            <w:tcW w:w="559" w:type="dxa"/>
            <w:tcBorders>
              <w:top w:val="single" w:color="auto" w:sz="4" w:space="0"/>
              <w:left w:val="single" w:color="auto" w:sz="4" w:space="0"/>
              <w:bottom w:val="single" w:color="auto" w:sz="4" w:space="0"/>
              <w:right w:val="single" w:color="000000" w:sz="12" w:space="0"/>
            </w:tcBorders>
            <w:shd w:val="clear" w:color="auto" w:fill="auto"/>
            <w:tcMar>
              <w:top w:w="10" w:type="dxa"/>
              <w:left w:w="10" w:type="dxa"/>
              <w:right w:w="10" w:type="dxa"/>
            </w:tcMar>
            <w:vAlign w:val="center"/>
          </w:tcPr>
          <w:p>
            <w:pPr>
              <w:pStyle w:val="2"/>
              <w:jc w:val="center"/>
              <w:rPr>
                <w:sz w:val="21"/>
                <w:szCs w:val="21"/>
              </w:rPr>
            </w:pPr>
            <w:r>
              <w:rPr>
                <w:rFonts w:hint="eastAsia"/>
                <w:sz w:val="21"/>
                <w:szCs w:val="21"/>
              </w:rPr>
              <w:t>2</w:t>
            </w:r>
          </w:p>
        </w:tc>
      </w:tr>
      <w:tr>
        <w:tblPrEx>
          <w:tblCellMar>
            <w:top w:w="0" w:type="dxa"/>
            <w:left w:w="0" w:type="dxa"/>
            <w:bottom w:w="0" w:type="dxa"/>
            <w:right w:w="0" w:type="dxa"/>
          </w:tblCellMar>
        </w:tblPrEx>
        <w:trPr>
          <w:trHeight w:val="967" w:hRule="atLeast"/>
        </w:trPr>
        <w:tc>
          <w:tcPr>
            <w:tcW w:w="467" w:type="dxa"/>
            <w:vMerge w:val="restart"/>
            <w:tcBorders>
              <w:top w:val="single" w:color="auto" w:sz="4" w:space="0"/>
              <w:left w:val="single" w:color="000000" w:sz="12" w:space="0"/>
              <w:bottom w:val="single" w:color="auto" w:sz="4" w:space="0"/>
              <w:right w:val="single" w:color="auto" w:sz="4" w:space="0"/>
            </w:tcBorders>
            <w:shd w:val="clear" w:color="auto" w:fill="auto"/>
            <w:tcMar>
              <w:top w:w="10" w:type="dxa"/>
              <w:left w:w="10" w:type="dxa"/>
              <w:right w:w="10" w:type="dxa"/>
            </w:tcMar>
            <w:vAlign w:val="center"/>
          </w:tcPr>
          <w:p>
            <w:pPr>
              <w:pStyle w:val="2"/>
              <w:jc w:val="center"/>
              <w:rPr>
                <w:sz w:val="21"/>
                <w:szCs w:val="21"/>
              </w:rPr>
            </w:pPr>
            <w:bookmarkStart w:id="9" w:name="_Hlk166290489"/>
            <w:r>
              <w:rPr>
                <w:rFonts w:hint="eastAsia"/>
                <w:sz w:val="21"/>
                <w:szCs w:val="21"/>
              </w:rPr>
              <w:t>8</w:t>
            </w:r>
          </w:p>
        </w:tc>
        <w:tc>
          <w:tcPr>
            <w:tcW w:w="1172" w:type="dxa"/>
            <w:vMerge w:val="restart"/>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pStyle w:val="2"/>
              <w:jc w:val="center"/>
              <w:rPr>
                <w:sz w:val="21"/>
                <w:szCs w:val="21"/>
              </w:rPr>
            </w:pPr>
            <w:r>
              <w:rPr>
                <w:rFonts w:hint="eastAsia"/>
                <w:sz w:val="21"/>
                <w:szCs w:val="21"/>
              </w:rPr>
              <w:t>交流电动机</w:t>
            </w:r>
          </w:p>
        </w:tc>
        <w:tc>
          <w:tcPr>
            <w:tcW w:w="1495" w:type="dxa"/>
            <w:vMerge w:val="restart"/>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pStyle w:val="2"/>
              <w:rPr>
                <w:sz w:val="21"/>
                <w:szCs w:val="21"/>
              </w:rPr>
            </w:pPr>
            <w:r>
              <w:rPr>
                <w:rFonts w:hint="eastAsia"/>
                <w:sz w:val="21"/>
                <w:szCs w:val="21"/>
              </w:rPr>
              <w:t>(1)三相异步电动机的基本结构与工作原理</w:t>
            </w:r>
          </w:p>
          <w:p>
            <w:pPr>
              <w:pStyle w:val="2"/>
              <w:rPr>
                <w:sz w:val="21"/>
                <w:szCs w:val="21"/>
              </w:rPr>
            </w:pPr>
            <w:r>
              <w:rPr>
                <w:sz w:val="21"/>
                <w:szCs w:val="21"/>
              </w:rPr>
              <w:t>(</w:t>
            </w:r>
            <w:r>
              <w:rPr>
                <w:rFonts w:hint="eastAsia"/>
                <w:sz w:val="21"/>
                <w:szCs w:val="21"/>
              </w:rPr>
              <w:t>2</w:t>
            </w:r>
            <w:r>
              <w:rPr>
                <w:sz w:val="21"/>
                <w:szCs w:val="21"/>
              </w:rPr>
              <w:t>)</w:t>
            </w:r>
            <w:r>
              <w:rPr>
                <w:rFonts w:hint="eastAsia"/>
                <w:sz w:val="21"/>
                <w:szCs w:val="21"/>
              </w:rPr>
              <w:t>三相异步电动机的电路分析</w:t>
            </w:r>
          </w:p>
          <w:p>
            <w:pPr>
              <w:pStyle w:val="2"/>
              <w:rPr>
                <w:sz w:val="21"/>
                <w:szCs w:val="21"/>
              </w:rPr>
            </w:pPr>
            <w:r>
              <w:rPr>
                <w:sz w:val="21"/>
                <w:szCs w:val="21"/>
              </w:rPr>
              <w:t>(</w:t>
            </w:r>
            <w:r>
              <w:rPr>
                <w:rFonts w:hint="eastAsia"/>
                <w:sz w:val="21"/>
                <w:szCs w:val="21"/>
              </w:rPr>
              <w:t>3</w:t>
            </w:r>
            <w:r>
              <w:rPr>
                <w:sz w:val="21"/>
                <w:szCs w:val="21"/>
              </w:rPr>
              <w:t>)</w:t>
            </w:r>
            <w:r>
              <w:rPr>
                <w:rFonts w:hint="eastAsia"/>
                <w:sz w:val="21"/>
                <w:szCs w:val="21"/>
              </w:rPr>
              <w:t>三相异步电动机的机械特性</w:t>
            </w:r>
            <w:r>
              <w:rPr>
                <w:sz w:val="21"/>
                <w:szCs w:val="21"/>
              </w:rPr>
              <w:t>(</w:t>
            </w:r>
            <w:r>
              <w:rPr>
                <w:rFonts w:hint="eastAsia"/>
                <w:sz w:val="21"/>
                <w:szCs w:val="21"/>
              </w:rPr>
              <w:t>4</w:t>
            </w:r>
            <w:r>
              <w:rPr>
                <w:sz w:val="21"/>
                <w:szCs w:val="21"/>
              </w:rPr>
              <w:t>)</w:t>
            </w:r>
            <w:r>
              <w:rPr>
                <w:rFonts w:hint="eastAsia"/>
                <w:sz w:val="21"/>
                <w:szCs w:val="21"/>
              </w:rPr>
              <w:t>三相异步电动机的起动、制动和调速</w:t>
            </w:r>
          </w:p>
          <w:p>
            <w:pPr>
              <w:pStyle w:val="2"/>
            </w:pPr>
            <w:r>
              <w:rPr>
                <w:sz w:val="21"/>
                <w:szCs w:val="21"/>
              </w:rPr>
              <w:t>(</w:t>
            </w:r>
            <w:r>
              <w:rPr>
                <w:rFonts w:hint="eastAsia"/>
                <w:sz w:val="21"/>
                <w:szCs w:val="21"/>
              </w:rPr>
              <w:t>5</w:t>
            </w:r>
            <w:r>
              <w:rPr>
                <w:sz w:val="21"/>
                <w:szCs w:val="21"/>
              </w:rPr>
              <w:t>)</w:t>
            </w:r>
            <w:r>
              <w:rPr>
                <w:rFonts w:hint="eastAsia"/>
                <w:sz w:val="21"/>
                <w:szCs w:val="21"/>
              </w:rPr>
              <w:t>三相异步电动机的铭牌数据及选用</w:t>
            </w:r>
          </w:p>
          <w:p>
            <w:pPr>
              <w:pStyle w:val="2"/>
              <w:rPr>
                <w:sz w:val="21"/>
                <w:szCs w:val="21"/>
              </w:rPr>
            </w:pPr>
            <w:r>
              <w:rPr>
                <w:sz w:val="21"/>
                <w:szCs w:val="21"/>
              </w:rPr>
              <w:t>(</w:t>
            </w:r>
            <w:r>
              <w:rPr>
                <w:rFonts w:hint="eastAsia"/>
                <w:sz w:val="21"/>
                <w:szCs w:val="21"/>
              </w:rPr>
              <w:t>6</w:t>
            </w:r>
            <w:r>
              <w:rPr>
                <w:sz w:val="21"/>
                <w:szCs w:val="21"/>
              </w:rPr>
              <w:t>)</w:t>
            </w:r>
            <w:r>
              <w:rPr>
                <w:rFonts w:hint="eastAsia"/>
                <w:sz w:val="21"/>
                <w:szCs w:val="21"/>
              </w:rPr>
              <w:t>其化电机的简介</w:t>
            </w:r>
          </w:p>
        </w:tc>
        <w:tc>
          <w:tcPr>
            <w:tcW w:w="1535" w:type="dxa"/>
            <w:vMerge w:val="restart"/>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pStyle w:val="2"/>
              <w:rPr>
                <w:sz w:val="21"/>
                <w:szCs w:val="21"/>
              </w:rPr>
            </w:pPr>
            <w:r>
              <w:rPr>
                <w:rFonts w:hint="eastAsia"/>
                <w:sz w:val="21"/>
                <w:szCs w:val="21"/>
              </w:rPr>
              <w:t>(1)安全意识：培养学生对于交流电动机在建筑消防系统中应用的安全意识，理解其工作特性和安全操作规程，确保在使用和维护过程中遵循安全规范</w:t>
            </w:r>
          </w:p>
          <w:p>
            <w:pPr>
              <w:pStyle w:val="2"/>
              <w:rPr>
                <w:sz w:val="21"/>
                <w:szCs w:val="21"/>
              </w:rPr>
            </w:pPr>
            <w:r>
              <w:rPr>
                <w:sz w:val="21"/>
                <w:szCs w:val="21"/>
              </w:rPr>
              <w:t>(</w:t>
            </w:r>
            <w:r>
              <w:rPr>
                <w:rFonts w:hint="eastAsia"/>
                <w:sz w:val="21"/>
                <w:szCs w:val="21"/>
              </w:rPr>
              <w:t>2</w:t>
            </w:r>
            <w:r>
              <w:rPr>
                <w:sz w:val="21"/>
                <w:szCs w:val="21"/>
              </w:rPr>
              <w:t>)</w:t>
            </w:r>
            <w:r>
              <w:rPr>
                <w:rFonts w:hint="eastAsia"/>
                <w:sz w:val="21"/>
                <w:szCs w:val="21"/>
              </w:rPr>
              <w:t>环保意识：强调交流电动机在节能减方面的重要性，引导学生关注电动机的能效和环保性能，培养环保意识</w:t>
            </w:r>
          </w:p>
          <w:p>
            <w:pPr>
              <w:pStyle w:val="2"/>
              <w:rPr>
                <w:sz w:val="21"/>
                <w:szCs w:val="21"/>
              </w:rPr>
            </w:pPr>
            <w:r>
              <w:rPr>
                <w:sz w:val="21"/>
                <w:szCs w:val="21"/>
              </w:rPr>
              <w:t>(</w:t>
            </w:r>
            <w:r>
              <w:rPr>
                <w:rFonts w:hint="eastAsia"/>
                <w:sz w:val="21"/>
                <w:szCs w:val="21"/>
              </w:rPr>
              <w:t>3</w:t>
            </w:r>
            <w:r>
              <w:rPr>
                <w:sz w:val="21"/>
                <w:szCs w:val="21"/>
              </w:rPr>
              <w:t>)</w:t>
            </w:r>
            <w:r>
              <w:rPr>
                <w:rFonts w:hint="eastAsia"/>
                <w:sz w:val="21"/>
                <w:szCs w:val="21"/>
              </w:rPr>
              <w:t>职业责任感：培养学生对自己作为电工的职业责任感，了解交流电动机在建筑消防系统中的关键作用，以及维护其正常运行的重要性</w:t>
            </w:r>
          </w:p>
        </w:tc>
        <w:tc>
          <w:tcPr>
            <w:tcW w:w="1637" w:type="dxa"/>
            <w:vMerge w:val="restart"/>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pStyle w:val="2"/>
              <w:rPr>
                <w:sz w:val="21"/>
                <w:szCs w:val="21"/>
              </w:rPr>
            </w:pPr>
            <w:r>
              <w:rPr>
                <w:rFonts w:hint="eastAsia"/>
                <w:sz w:val="21"/>
                <w:szCs w:val="21"/>
              </w:rPr>
              <w:t>(1)</w:t>
            </w:r>
            <w:r>
              <w:rPr>
                <w:rFonts w:hint="eastAsia"/>
              </w:rPr>
              <w:t xml:space="preserve"> </w:t>
            </w:r>
            <w:r>
              <w:rPr>
                <w:rFonts w:hint="eastAsia"/>
                <w:sz w:val="21"/>
                <w:szCs w:val="21"/>
              </w:rPr>
              <w:t>交流电动机基本原理：掌握交流电动机的工作原理，包括电磁感应现象、旋转磁场产生、电动机转动等基本概念</w:t>
            </w:r>
          </w:p>
          <w:p>
            <w:pPr>
              <w:pStyle w:val="2"/>
              <w:rPr>
                <w:sz w:val="21"/>
                <w:szCs w:val="21"/>
              </w:rPr>
            </w:pPr>
            <w:r>
              <w:rPr>
                <w:sz w:val="21"/>
                <w:szCs w:val="21"/>
              </w:rPr>
              <w:t>(</w:t>
            </w:r>
            <w:r>
              <w:rPr>
                <w:rFonts w:hint="eastAsia"/>
                <w:sz w:val="21"/>
                <w:szCs w:val="21"/>
              </w:rPr>
              <w:t>2</w:t>
            </w:r>
            <w:r>
              <w:rPr>
                <w:sz w:val="21"/>
                <w:szCs w:val="21"/>
              </w:rPr>
              <w:t>)</w:t>
            </w:r>
            <w:r>
              <w:rPr>
                <w:rFonts w:hint="eastAsia"/>
                <w:sz w:val="21"/>
                <w:szCs w:val="21"/>
              </w:rPr>
              <w:t>交流电动机类型与结构：了解不同类型的交流电动机（如同步电动机、异步电动机等）及其结构特点，包括定子、转子、绕组等部件的功能和结构</w:t>
            </w:r>
          </w:p>
          <w:p>
            <w:pPr>
              <w:pStyle w:val="2"/>
              <w:rPr>
                <w:sz w:val="21"/>
                <w:szCs w:val="21"/>
              </w:rPr>
            </w:pPr>
            <w:r>
              <w:rPr>
                <w:sz w:val="21"/>
                <w:szCs w:val="21"/>
              </w:rPr>
              <w:t>(</w:t>
            </w:r>
            <w:r>
              <w:rPr>
                <w:rFonts w:hint="eastAsia"/>
                <w:sz w:val="21"/>
                <w:szCs w:val="21"/>
              </w:rPr>
              <w:t>3</w:t>
            </w:r>
            <w:r>
              <w:rPr>
                <w:sz w:val="21"/>
                <w:szCs w:val="21"/>
              </w:rPr>
              <w:t>)</w:t>
            </w:r>
            <w:r>
              <w:rPr>
                <w:rFonts w:hint="eastAsia"/>
                <w:sz w:val="21"/>
                <w:szCs w:val="21"/>
              </w:rPr>
              <w:t>电动机控制电路：掌握交流电动机的控制电路和启动、调速、制动等控制方法，了解电动机在控制系统中的作用和配合方式</w:t>
            </w:r>
          </w:p>
          <w:p>
            <w:pPr>
              <w:pStyle w:val="2"/>
              <w:rPr>
                <w:sz w:val="21"/>
                <w:szCs w:val="21"/>
              </w:rPr>
            </w:pPr>
            <w:r>
              <w:rPr>
                <w:sz w:val="21"/>
                <w:szCs w:val="21"/>
              </w:rPr>
              <w:t>(</w:t>
            </w:r>
            <w:r>
              <w:rPr>
                <w:rFonts w:hint="eastAsia"/>
                <w:sz w:val="21"/>
                <w:szCs w:val="21"/>
              </w:rPr>
              <w:t>4</w:t>
            </w:r>
            <w:r>
              <w:rPr>
                <w:sz w:val="21"/>
                <w:szCs w:val="21"/>
              </w:rPr>
              <w:t>)</w:t>
            </w:r>
            <w:r>
              <w:rPr>
                <w:rFonts w:hint="eastAsia"/>
                <w:sz w:val="21"/>
                <w:szCs w:val="21"/>
              </w:rPr>
              <w:t>电动机维护与故障排查：了解交流电动机的维护方法和常见故障排查技巧，掌握电动机的保养和维修知识</w:t>
            </w:r>
          </w:p>
        </w:tc>
        <w:tc>
          <w:tcPr>
            <w:tcW w:w="1567" w:type="dxa"/>
            <w:vMerge w:val="restart"/>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pStyle w:val="2"/>
              <w:rPr>
                <w:sz w:val="21"/>
                <w:szCs w:val="21"/>
              </w:rPr>
            </w:pPr>
            <w:r>
              <w:rPr>
                <w:rFonts w:hint="eastAsia"/>
                <w:sz w:val="21"/>
                <w:szCs w:val="21"/>
              </w:rPr>
              <w:t>(1)识图与分析：能够读懂并分析交流电动机的电路图和控制电路图，理解其工作原理和特性</w:t>
            </w:r>
          </w:p>
          <w:p>
            <w:pPr>
              <w:pStyle w:val="2"/>
              <w:rPr>
                <w:sz w:val="21"/>
                <w:szCs w:val="21"/>
              </w:rPr>
            </w:pPr>
            <w:r>
              <w:rPr>
                <w:sz w:val="21"/>
                <w:szCs w:val="21"/>
              </w:rPr>
              <w:t>(</w:t>
            </w:r>
            <w:r>
              <w:rPr>
                <w:rFonts w:hint="eastAsia"/>
                <w:sz w:val="21"/>
                <w:szCs w:val="21"/>
              </w:rPr>
              <w:t>2</w:t>
            </w:r>
            <w:r>
              <w:rPr>
                <w:sz w:val="21"/>
                <w:szCs w:val="21"/>
              </w:rPr>
              <w:t>)</w:t>
            </w:r>
            <w:r>
              <w:rPr>
                <w:rFonts w:hint="eastAsia"/>
                <w:sz w:val="21"/>
                <w:szCs w:val="21"/>
              </w:rPr>
              <w:t>操作与维护：能够正确操作交流电动机，包括启动、停止、调速等操作，并能够进行电动机的日常维护和保养</w:t>
            </w:r>
          </w:p>
          <w:p>
            <w:pPr>
              <w:pStyle w:val="2"/>
              <w:rPr>
                <w:sz w:val="21"/>
                <w:szCs w:val="21"/>
              </w:rPr>
            </w:pPr>
            <w:r>
              <w:rPr>
                <w:sz w:val="21"/>
                <w:szCs w:val="21"/>
              </w:rPr>
              <w:t>(</w:t>
            </w:r>
            <w:r>
              <w:rPr>
                <w:rFonts w:hint="eastAsia"/>
                <w:sz w:val="21"/>
                <w:szCs w:val="21"/>
              </w:rPr>
              <w:t>3</w:t>
            </w:r>
            <w:r>
              <w:rPr>
                <w:sz w:val="21"/>
                <w:szCs w:val="21"/>
              </w:rPr>
              <w:t>)</w:t>
            </w:r>
            <w:r>
              <w:rPr>
                <w:rFonts w:hint="eastAsia"/>
                <w:sz w:val="21"/>
                <w:szCs w:val="21"/>
              </w:rPr>
              <w:t>故障排查与修复：能够对交流电动机的常见故障进行排查和修复，包括电机不转、声音异常、温度过高等故障的诊断和处理</w:t>
            </w:r>
          </w:p>
          <w:p>
            <w:pPr>
              <w:pStyle w:val="2"/>
              <w:rPr>
                <w:sz w:val="21"/>
                <w:szCs w:val="21"/>
              </w:rPr>
            </w:pPr>
            <w:r>
              <w:rPr>
                <w:sz w:val="21"/>
                <w:szCs w:val="21"/>
              </w:rPr>
              <w:t>(</w:t>
            </w:r>
            <w:r>
              <w:rPr>
                <w:rFonts w:hint="eastAsia"/>
                <w:sz w:val="21"/>
                <w:szCs w:val="21"/>
              </w:rPr>
              <w:t>4</w:t>
            </w:r>
            <w:r>
              <w:rPr>
                <w:sz w:val="21"/>
                <w:szCs w:val="21"/>
              </w:rPr>
              <w:t>)</w:t>
            </w:r>
            <w:r>
              <w:rPr>
                <w:rFonts w:hint="eastAsia"/>
                <w:sz w:val="21"/>
                <w:szCs w:val="21"/>
              </w:rPr>
              <w:t>综合应用能力：能够将所学知识应用于实际工程中，如选择合适的电动机、设计合理的控制电路等，并能够在实际工作中灵活运用所学知识解决实际问题</w:t>
            </w:r>
          </w:p>
        </w:tc>
        <w:tc>
          <w:tcPr>
            <w:tcW w:w="559" w:type="dxa"/>
            <w:vMerge w:val="restart"/>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pStyle w:val="2"/>
              <w:jc w:val="center"/>
              <w:rPr>
                <w:sz w:val="21"/>
                <w:szCs w:val="21"/>
              </w:rPr>
            </w:pPr>
            <w:r>
              <w:rPr>
                <w:rFonts w:hint="eastAsia"/>
                <w:sz w:val="21"/>
                <w:szCs w:val="21"/>
              </w:rPr>
              <w:t>6</w:t>
            </w:r>
          </w:p>
        </w:tc>
        <w:tc>
          <w:tcPr>
            <w:tcW w:w="559" w:type="dxa"/>
            <w:vMerge w:val="restart"/>
            <w:tcBorders>
              <w:top w:val="single" w:color="auto" w:sz="4" w:space="0"/>
              <w:left w:val="single" w:color="auto" w:sz="4" w:space="0"/>
              <w:bottom w:val="single" w:color="auto" w:sz="4" w:space="0"/>
              <w:right w:val="single" w:color="000000" w:sz="12" w:space="0"/>
            </w:tcBorders>
            <w:shd w:val="clear" w:color="auto" w:fill="auto"/>
            <w:tcMar>
              <w:top w:w="10" w:type="dxa"/>
              <w:left w:w="10" w:type="dxa"/>
              <w:right w:w="10" w:type="dxa"/>
            </w:tcMar>
            <w:vAlign w:val="center"/>
          </w:tcPr>
          <w:p>
            <w:pPr>
              <w:pStyle w:val="2"/>
              <w:jc w:val="center"/>
              <w:rPr>
                <w:sz w:val="21"/>
                <w:szCs w:val="21"/>
              </w:rPr>
            </w:pPr>
            <w:r>
              <w:rPr>
                <w:rFonts w:hint="eastAsia"/>
                <w:sz w:val="21"/>
                <w:szCs w:val="21"/>
              </w:rPr>
              <w:t>2</w:t>
            </w:r>
          </w:p>
        </w:tc>
      </w:tr>
      <w:bookmarkEnd w:id="9"/>
      <w:tr>
        <w:tblPrEx>
          <w:tblCellMar>
            <w:top w:w="0" w:type="dxa"/>
            <w:left w:w="0" w:type="dxa"/>
            <w:bottom w:w="0" w:type="dxa"/>
            <w:right w:w="0" w:type="dxa"/>
          </w:tblCellMar>
        </w:tblPrEx>
        <w:trPr>
          <w:trHeight w:val="616" w:hRule="atLeast"/>
        </w:trPr>
        <w:tc>
          <w:tcPr>
            <w:tcW w:w="467" w:type="dxa"/>
            <w:vMerge w:val="continue"/>
            <w:tcBorders>
              <w:top w:val="single" w:color="auto" w:sz="4" w:space="0"/>
              <w:left w:val="single" w:color="000000" w:sz="12" w:space="0"/>
              <w:bottom w:val="single" w:color="auto" w:sz="4" w:space="0"/>
              <w:right w:val="single" w:color="auto" w:sz="4" w:space="0"/>
            </w:tcBorders>
            <w:shd w:val="clear" w:color="auto" w:fill="auto"/>
            <w:tcMar>
              <w:top w:w="10" w:type="dxa"/>
              <w:left w:w="10" w:type="dxa"/>
              <w:right w:w="10" w:type="dxa"/>
            </w:tcMar>
            <w:vAlign w:val="center"/>
          </w:tcPr>
          <w:p>
            <w:pPr>
              <w:pStyle w:val="2"/>
              <w:rPr>
                <w:sz w:val="21"/>
                <w:szCs w:val="21"/>
              </w:rPr>
            </w:pPr>
          </w:p>
        </w:tc>
        <w:tc>
          <w:tcPr>
            <w:tcW w:w="1172" w:type="dxa"/>
            <w:vMerge w:val="continue"/>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pStyle w:val="2"/>
              <w:rPr>
                <w:sz w:val="21"/>
                <w:szCs w:val="21"/>
              </w:rPr>
            </w:pPr>
          </w:p>
        </w:tc>
        <w:tc>
          <w:tcPr>
            <w:tcW w:w="1495" w:type="dxa"/>
            <w:vMerge w:val="continue"/>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pStyle w:val="2"/>
              <w:rPr>
                <w:sz w:val="21"/>
                <w:szCs w:val="21"/>
              </w:rPr>
            </w:pPr>
          </w:p>
        </w:tc>
        <w:tc>
          <w:tcPr>
            <w:tcW w:w="1535" w:type="dxa"/>
            <w:vMerge w:val="continue"/>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pStyle w:val="2"/>
              <w:rPr>
                <w:sz w:val="21"/>
                <w:szCs w:val="21"/>
              </w:rPr>
            </w:pPr>
          </w:p>
        </w:tc>
        <w:tc>
          <w:tcPr>
            <w:tcW w:w="1637" w:type="dxa"/>
            <w:vMerge w:val="continue"/>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pStyle w:val="2"/>
              <w:rPr>
                <w:sz w:val="21"/>
                <w:szCs w:val="21"/>
              </w:rPr>
            </w:pPr>
          </w:p>
        </w:tc>
        <w:tc>
          <w:tcPr>
            <w:tcW w:w="1567" w:type="dxa"/>
            <w:vMerge w:val="continue"/>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pStyle w:val="2"/>
              <w:rPr>
                <w:sz w:val="21"/>
                <w:szCs w:val="21"/>
              </w:rPr>
            </w:pPr>
          </w:p>
        </w:tc>
        <w:tc>
          <w:tcPr>
            <w:tcW w:w="559" w:type="dxa"/>
            <w:vMerge w:val="continue"/>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pStyle w:val="2"/>
              <w:rPr>
                <w:sz w:val="21"/>
                <w:szCs w:val="21"/>
              </w:rPr>
            </w:pPr>
          </w:p>
        </w:tc>
        <w:tc>
          <w:tcPr>
            <w:tcW w:w="559" w:type="dxa"/>
            <w:vMerge w:val="continue"/>
            <w:tcBorders>
              <w:top w:val="single" w:color="auto" w:sz="4" w:space="0"/>
              <w:left w:val="single" w:color="auto" w:sz="4" w:space="0"/>
              <w:bottom w:val="single" w:color="auto" w:sz="4" w:space="0"/>
              <w:right w:val="single" w:color="000000" w:sz="12" w:space="0"/>
            </w:tcBorders>
            <w:shd w:val="clear" w:color="auto" w:fill="auto"/>
            <w:tcMar>
              <w:top w:w="10" w:type="dxa"/>
              <w:left w:w="10" w:type="dxa"/>
              <w:right w:w="10" w:type="dxa"/>
            </w:tcMar>
            <w:vAlign w:val="center"/>
          </w:tcPr>
          <w:p>
            <w:pPr>
              <w:pStyle w:val="2"/>
              <w:rPr>
                <w:sz w:val="21"/>
                <w:szCs w:val="21"/>
              </w:rPr>
            </w:pPr>
          </w:p>
        </w:tc>
      </w:tr>
      <w:tr>
        <w:tblPrEx>
          <w:tblCellMar>
            <w:top w:w="0" w:type="dxa"/>
            <w:left w:w="0" w:type="dxa"/>
            <w:bottom w:w="0" w:type="dxa"/>
            <w:right w:w="0" w:type="dxa"/>
          </w:tblCellMar>
        </w:tblPrEx>
        <w:trPr>
          <w:trHeight w:val="6660" w:hRule="atLeast"/>
        </w:trPr>
        <w:tc>
          <w:tcPr>
            <w:tcW w:w="467" w:type="dxa"/>
            <w:vMerge w:val="continue"/>
            <w:tcBorders>
              <w:top w:val="single" w:color="auto" w:sz="4" w:space="0"/>
              <w:left w:val="single" w:color="000000" w:sz="12" w:space="0"/>
              <w:bottom w:val="single" w:color="auto" w:sz="4" w:space="0"/>
              <w:right w:val="single" w:color="auto" w:sz="4" w:space="0"/>
            </w:tcBorders>
            <w:shd w:val="clear" w:color="auto" w:fill="auto"/>
            <w:tcMar>
              <w:top w:w="10" w:type="dxa"/>
              <w:left w:w="10" w:type="dxa"/>
              <w:right w:w="10" w:type="dxa"/>
            </w:tcMar>
            <w:vAlign w:val="center"/>
          </w:tcPr>
          <w:p>
            <w:pPr>
              <w:pStyle w:val="2"/>
              <w:rPr>
                <w:sz w:val="21"/>
                <w:szCs w:val="21"/>
              </w:rPr>
            </w:pPr>
          </w:p>
        </w:tc>
        <w:tc>
          <w:tcPr>
            <w:tcW w:w="1172" w:type="dxa"/>
            <w:vMerge w:val="continue"/>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pStyle w:val="2"/>
              <w:rPr>
                <w:sz w:val="21"/>
                <w:szCs w:val="21"/>
              </w:rPr>
            </w:pPr>
          </w:p>
        </w:tc>
        <w:tc>
          <w:tcPr>
            <w:tcW w:w="1495" w:type="dxa"/>
            <w:vMerge w:val="continue"/>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pStyle w:val="2"/>
              <w:rPr>
                <w:sz w:val="21"/>
                <w:szCs w:val="21"/>
              </w:rPr>
            </w:pPr>
          </w:p>
        </w:tc>
        <w:tc>
          <w:tcPr>
            <w:tcW w:w="1535" w:type="dxa"/>
            <w:vMerge w:val="continue"/>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pStyle w:val="2"/>
              <w:rPr>
                <w:sz w:val="21"/>
                <w:szCs w:val="21"/>
              </w:rPr>
            </w:pPr>
          </w:p>
        </w:tc>
        <w:tc>
          <w:tcPr>
            <w:tcW w:w="1637" w:type="dxa"/>
            <w:vMerge w:val="continue"/>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pStyle w:val="2"/>
              <w:rPr>
                <w:sz w:val="21"/>
                <w:szCs w:val="21"/>
              </w:rPr>
            </w:pPr>
          </w:p>
        </w:tc>
        <w:tc>
          <w:tcPr>
            <w:tcW w:w="1567" w:type="dxa"/>
            <w:vMerge w:val="continue"/>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pStyle w:val="2"/>
              <w:rPr>
                <w:sz w:val="21"/>
                <w:szCs w:val="21"/>
              </w:rPr>
            </w:pPr>
          </w:p>
        </w:tc>
        <w:tc>
          <w:tcPr>
            <w:tcW w:w="559" w:type="dxa"/>
            <w:vMerge w:val="continue"/>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pStyle w:val="2"/>
              <w:rPr>
                <w:sz w:val="21"/>
                <w:szCs w:val="21"/>
              </w:rPr>
            </w:pPr>
          </w:p>
        </w:tc>
        <w:tc>
          <w:tcPr>
            <w:tcW w:w="559" w:type="dxa"/>
            <w:vMerge w:val="continue"/>
            <w:tcBorders>
              <w:top w:val="single" w:color="auto" w:sz="4" w:space="0"/>
              <w:left w:val="single" w:color="auto" w:sz="4" w:space="0"/>
              <w:bottom w:val="single" w:color="auto" w:sz="4" w:space="0"/>
              <w:right w:val="single" w:color="000000" w:sz="12" w:space="0"/>
            </w:tcBorders>
            <w:shd w:val="clear" w:color="auto" w:fill="auto"/>
            <w:tcMar>
              <w:top w:w="10" w:type="dxa"/>
              <w:left w:w="10" w:type="dxa"/>
              <w:right w:w="10" w:type="dxa"/>
            </w:tcMar>
            <w:vAlign w:val="center"/>
          </w:tcPr>
          <w:p>
            <w:pPr>
              <w:pStyle w:val="2"/>
              <w:rPr>
                <w:sz w:val="21"/>
                <w:szCs w:val="21"/>
              </w:rPr>
            </w:pPr>
          </w:p>
        </w:tc>
      </w:tr>
      <w:tr>
        <w:tblPrEx>
          <w:tblCellMar>
            <w:top w:w="0" w:type="dxa"/>
            <w:left w:w="0" w:type="dxa"/>
            <w:bottom w:w="0" w:type="dxa"/>
            <w:right w:w="0" w:type="dxa"/>
          </w:tblCellMar>
        </w:tblPrEx>
        <w:trPr>
          <w:trHeight w:val="6660" w:hRule="atLeast"/>
        </w:trPr>
        <w:tc>
          <w:tcPr>
            <w:tcW w:w="467" w:type="dxa"/>
            <w:tcBorders>
              <w:top w:val="single" w:color="auto" w:sz="4" w:space="0"/>
              <w:left w:val="single" w:color="000000" w:sz="12" w:space="0"/>
              <w:bottom w:val="single" w:color="auto" w:sz="4" w:space="0"/>
              <w:right w:val="single" w:color="auto" w:sz="4" w:space="0"/>
            </w:tcBorders>
            <w:shd w:val="clear" w:color="auto" w:fill="auto"/>
            <w:tcMar>
              <w:top w:w="10" w:type="dxa"/>
              <w:left w:w="10" w:type="dxa"/>
              <w:right w:w="10" w:type="dxa"/>
            </w:tcMar>
            <w:vAlign w:val="center"/>
          </w:tcPr>
          <w:p>
            <w:pPr>
              <w:pStyle w:val="2"/>
              <w:jc w:val="center"/>
              <w:rPr>
                <w:sz w:val="21"/>
                <w:szCs w:val="21"/>
              </w:rPr>
            </w:pPr>
            <w:r>
              <w:rPr>
                <w:rFonts w:hint="eastAsia"/>
                <w:sz w:val="21"/>
                <w:szCs w:val="21"/>
              </w:rPr>
              <w:t>9</w:t>
            </w:r>
          </w:p>
        </w:tc>
        <w:tc>
          <w:tcPr>
            <w:tcW w:w="1172"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pStyle w:val="2"/>
              <w:rPr>
                <w:sz w:val="21"/>
                <w:szCs w:val="21"/>
              </w:rPr>
            </w:pPr>
            <w:r>
              <w:rPr>
                <w:rFonts w:hint="eastAsia"/>
                <w:sz w:val="21"/>
                <w:szCs w:val="21"/>
              </w:rPr>
              <w:t>可编程控制器及其应用</w:t>
            </w:r>
          </w:p>
        </w:tc>
        <w:tc>
          <w:tcPr>
            <w:tcW w:w="1495"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pStyle w:val="2"/>
              <w:rPr>
                <w:sz w:val="21"/>
                <w:szCs w:val="21"/>
              </w:rPr>
            </w:pPr>
            <w:r>
              <w:rPr>
                <w:sz w:val="21"/>
                <w:szCs w:val="21"/>
              </w:rPr>
              <w:t>(</w:t>
            </w:r>
            <w:r>
              <w:rPr>
                <w:rFonts w:hint="eastAsia"/>
                <w:sz w:val="21"/>
                <w:szCs w:val="21"/>
              </w:rPr>
              <w:t>1</w:t>
            </w:r>
            <w:r>
              <w:rPr>
                <w:sz w:val="21"/>
                <w:szCs w:val="21"/>
              </w:rPr>
              <w:t>)</w:t>
            </w:r>
            <w:r>
              <w:rPr>
                <w:rFonts w:hint="eastAsia"/>
                <w:sz w:val="21"/>
                <w:szCs w:val="21"/>
              </w:rPr>
              <w:t>可编程制器简介</w:t>
            </w:r>
          </w:p>
          <w:p>
            <w:pPr>
              <w:pStyle w:val="2"/>
              <w:rPr>
                <w:sz w:val="21"/>
                <w:szCs w:val="21"/>
              </w:rPr>
            </w:pPr>
            <w:r>
              <w:rPr>
                <w:sz w:val="21"/>
                <w:szCs w:val="21"/>
              </w:rPr>
              <w:t>(</w:t>
            </w:r>
            <w:r>
              <w:rPr>
                <w:rFonts w:hint="eastAsia"/>
                <w:sz w:val="21"/>
                <w:szCs w:val="21"/>
              </w:rPr>
              <w:t>2</w:t>
            </w:r>
            <w:r>
              <w:rPr>
                <w:sz w:val="21"/>
                <w:szCs w:val="21"/>
              </w:rPr>
              <w:t>)</w:t>
            </w:r>
            <w:r>
              <w:rPr>
                <w:rFonts w:hint="eastAsia"/>
                <w:sz w:val="21"/>
                <w:szCs w:val="21"/>
              </w:rPr>
              <w:t>可编程控制器结构及工作原理</w:t>
            </w:r>
          </w:p>
          <w:p>
            <w:pPr>
              <w:pStyle w:val="2"/>
              <w:rPr>
                <w:sz w:val="21"/>
                <w:szCs w:val="21"/>
              </w:rPr>
            </w:pPr>
            <w:r>
              <w:rPr>
                <w:sz w:val="21"/>
                <w:szCs w:val="21"/>
              </w:rPr>
              <w:t>(</w:t>
            </w:r>
            <w:r>
              <w:rPr>
                <w:rFonts w:hint="eastAsia"/>
                <w:sz w:val="21"/>
                <w:szCs w:val="21"/>
              </w:rPr>
              <w:t>3</w:t>
            </w:r>
            <w:r>
              <w:rPr>
                <w:sz w:val="21"/>
                <w:szCs w:val="21"/>
              </w:rPr>
              <w:t>)</w:t>
            </w:r>
            <w:r>
              <w:rPr>
                <w:rFonts w:hint="eastAsia"/>
                <w:sz w:val="21"/>
                <w:szCs w:val="21"/>
              </w:rPr>
              <w:t>梯形图编程规则与</w:t>
            </w:r>
            <w:r>
              <w:rPr>
                <w:sz w:val="21"/>
                <w:szCs w:val="21"/>
              </w:rPr>
              <w:t>PLC应用控制系统的设计流程</w:t>
            </w:r>
          </w:p>
          <w:p>
            <w:pPr>
              <w:pStyle w:val="2"/>
              <w:rPr>
                <w:sz w:val="21"/>
                <w:szCs w:val="21"/>
              </w:rPr>
            </w:pPr>
            <w:r>
              <w:rPr>
                <w:sz w:val="21"/>
                <w:szCs w:val="21"/>
              </w:rPr>
              <w:t>(</w:t>
            </w:r>
            <w:r>
              <w:rPr>
                <w:rFonts w:hint="eastAsia"/>
                <w:sz w:val="21"/>
                <w:szCs w:val="21"/>
              </w:rPr>
              <w:t>4</w:t>
            </w:r>
            <w:r>
              <w:rPr>
                <w:sz w:val="21"/>
                <w:szCs w:val="21"/>
              </w:rPr>
              <w:t>)</w:t>
            </w:r>
            <w:r>
              <w:rPr>
                <w:rFonts w:hint="eastAsia"/>
                <w:sz w:val="21"/>
                <w:szCs w:val="21"/>
              </w:rPr>
              <w:t>基于</w:t>
            </w:r>
            <w:r>
              <w:rPr>
                <w:sz w:val="21"/>
                <w:szCs w:val="21"/>
              </w:rPr>
              <w:t xml:space="preserve"> PLC 的三相笼型异步电动机的正、反转控制232并</w:t>
            </w:r>
          </w:p>
          <w:p>
            <w:pPr>
              <w:pStyle w:val="2"/>
              <w:rPr>
                <w:sz w:val="21"/>
                <w:szCs w:val="21"/>
              </w:rPr>
            </w:pPr>
            <w:r>
              <w:rPr>
                <w:sz w:val="21"/>
                <w:szCs w:val="21"/>
              </w:rPr>
              <w:t>(</w:t>
            </w:r>
            <w:r>
              <w:rPr>
                <w:rFonts w:hint="eastAsia"/>
                <w:sz w:val="21"/>
                <w:szCs w:val="21"/>
              </w:rPr>
              <w:t>5</w:t>
            </w:r>
            <w:r>
              <w:rPr>
                <w:sz w:val="21"/>
                <w:szCs w:val="21"/>
              </w:rPr>
              <w:t>)</w:t>
            </w:r>
            <w:r>
              <w:rPr>
                <w:rFonts w:hint="eastAsia"/>
                <w:sz w:val="21"/>
                <w:szCs w:val="21"/>
              </w:rPr>
              <w:t>基于</w:t>
            </w:r>
            <w:r>
              <w:rPr>
                <w:sz w:val="21"/>
                <w:szCs w:val="21"/>
              </w:rPr>
              <w:t>PLC的CA6140型普通车床电气控制系统的设计</w:t>
            </w:r>
          </w:p>
        </w:tc>
        <w:tc>
          <w:tcPr>
            <w:tcW w:w="1535"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pStyle w:val="2"/>
              <w:rPr>
                <w:sz w:val="21"/>
                <w:szCs w:val="21"/>
              </w:rPr>
            </w:pPr>
            <w:r>
              <w:rPr>
                <w:sz w:val="21"/>
                <w:szCs w:val="21"/>
              </w:rPr>
              <w:t>(1)</w:t>
            </w:r>
            <w:r>
              <w:rPr>
                <w:rFonts w:hint="eastAsia"/>
                <w:sz w:val="21"/>
                <w:szCs w:val="21"/>
              </w:rPr>
              <w:t>安全意识：培养学生对</w:t>
            </w:r>
            <w:r>
              <w:rPr>
                <w:sz w:val="21"/>
                <w:szCs w:val="21"/>
              </w:rPr>
              <w:t>PLC在建筑消防系统中应用的安全意识，了解PLC在控制系统中的重要作用，确保在实际操作中遵循安全规范</w:t>
            </w:r>
          </w:p>
          <w:p>
            <w:pPr>
              <w:pStyle w:val="2"/>
              <w:rPr>
                <w:sz w:val="21"/>
                <w:szCs w:val="21"/>
              </w:rPr>
            </w:pPr>
            <w:r>
              <w:rPr>
                <w:sz w:val="21"/>
                <w:szCs w:val="21"/>
              </w:rPr>
              <w:t>(</w:t>
            </w:r>
            <w:r>
              <w:rPr>
                <w:rFonts w:hint="eastAsia"/>
                <w:sz w:val="21"/>
                <w:szCs w:val="21"/>
              </w:rPr>
              <w:t>2</w:t>
            </w:r>
            <w:r>
              <w:rPr>
                <w:sz w:val="21"/>
                <w:szCs w:val="21"/>
              </w:rPr>
              <w:t>)</w:t>
            </w:r>
            <w:r>
              <w:rPr>
                <w:rFonts w:hint="eastAsia"/>
                <w:sz w:val="21"/>
                <w:szCs w:val="21"/>
              </w:rPr>
              <w:t>创新思维：激发学生的创新思维，鼓励他们探索</w:t>
            </w:r>
            <w:r>
              <w:rPr>
                <w:sz w:val="21"/>
                <w:szCs w:val="21"/>
              </w:rPr>
              <w:t>PLC在建筑消防系统中的新应用，提高系统的智能化水平</w:t>
            </w:r>
          </w:p>
          <w:p>
            <w:pPr>
              <w:pStyle w:val="2"/>
              <w:rPr>
                <w:sz w:val="21"/>
                <w:szCs w:val="21"/>
              </w:rPr>
            </w:pPr>
            <w:r>
              <w:rPr>
                <w:sz w:val="21"/>
                <w:szCs w:val="21"/>
              </w:rPr>
              <w:t>(</w:t>
            </w:r>
            <w:r>
              <w:rPr>
                <w:rFonts w:hint="eastAsia"/>
                <w:sz w:val="21"/>
                <w:szCs w:val="21"/>
              </w:rPr>
              <w:t>3</w:t>
            </w:r>
            <w:r>
              <w:rPr>
                <w:sz w:val="21"/>
                <w:szCs w:val="21"/>
              </w:rPr>
              <w:t>)</w:t>
            </w:r>
            <w:r>
              <w:rPr>
                <w:rFonts w:hint="eastAsia"/>
                <w:sz w:val="21"/>
                <w:szCs w:val="21"/>
              </w:rPr>
              <w:t>团队协作：培养学生的团队协作能力，让他们学会在项目中与团队成员有效沟通，共同解决问题</w:t>
            </w:r>
          </w:p>
        </w:tc>
        <w:tc>
          <w:tcPr>
            <w:tcW w:w="1637"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pStyle w:val="2"/>
              <w:rPr>
                <w:sz w:val="21"/>
                <w:szCs w:val="21"/>
              </w:rPr>
            </w:pPr>
            <w:r>
              <w:rPr>
                <w:sz w:val="21"/>
                <w:szCs w:val="21"/>
              </w:rPr>
              <w:t>(1)PLC基本原理：掌握PLC的工作原理、组成结构、输入输出接口等基本知识</w:t>
            </w:r>
          </w:p>
          <w:p>
            <w:pPr>
              <w:pStyle w:val="2"/>
              <w:rPr>
                <w:sz w:val="21"/>
                <w:szCs w:val="21"/>
              </w:rPr>
            </w:pPr>
            <w:r>
              <w:rPr>
                <w:sz w:val="21"/>
                <w:szCs w:val="21"/>
              </w:rPr>
              <w:t>(</w:t>
            </w:r>
            <w:r>
              <w:rPr>
                <w:rFonts w:hint="eastAsia"/>
                <w:sz w:val="21"/>
                <w:szCs w:val="21"/>
              </w:rPr>
              <w:t>2</w:t>
            </w:r>
            <w:r>
              <w:rPr>
                <w:sz w:val="21"/>
                <w:szCs w:val="21"/>
              </w:rPr>
              <w:t>)</w:t>
            </w:r>
            <w:r>
              <w:rPr>
                <w:rFonts w:hint="eastAsia"/>
                <w:sz w:val="21"/>
                <w:szCs w:val="21"/>
              </w:rPr>
              <w:t>编程语言：熟悉</w:t>
            </w:r>
            <w:r>
              <w:rPr>
                <w:sz w:val="21"/>
                <w:szCs w:val="21"/>
              </w:rPr>
              <w:t>PLC的编程语言（如梯形图、指令表等），能够编写简单的PLC程序</w:t>
            </w:r>
          </w:p>
          <w:p>
            <w:pPr>
              <w:pStyle w:val="2"/>
              <w:rPr>
                <w:sz w:val="21"/>
                <w:szCs w:val="21"/>
              </w:rPr>
            </w:pPr>
            <w:r>
              <w:rPr>
                <w:sz w:val="21"/>
                <w:szCs w:val="21"/>
              </w:rPr>
              <w:t>(</w:t>
            </w:r>
            <w:r>
              <w:rPr>
                <w:rFonts w:hint="eastAsia"/>
                <w:sz w:val="21"/>
                <w:szCs w:val="21"/>
              </w:rPr>
              <w:t>3</w:t>
            </w:r>
            <w:r>
              <w:rPr>
                <w:sz w:val="21"/>
                <w:szCs w:val="21"/>
              </w:rPr>
              <w:t>)</w:t>
            </w:r>
            <w:r>
              <w:rPr>
                <w:rFonts w:hint="eastAsia"/>
                <w:sz w:val="21"/>
                <w:szCs w:val="21"/>
              </w:rPr>
              <w:t>控制系统设计：了解</w:t>
            </w:r>
            <w:r>
              <w:rPr>
                <w:sz w:val="21"/>
                <w:szCs w:val="21"/>
              </w:rPr>
              <w:t>PLC在控制系统中的应用，包括系统设计、程序编写、调试与优化等过程</w:t>
            </w:r>
          </w:p>
          <w:p>
            <w:pPr>
              <w:pStyle w:val="2"/>
              <w:rPr>
                <w:sz w:val="21"/>
                <w:szCs w:val="21"/>
              </w:rPr>
            </w:pPr>
            <w:r>
              <w:rPr>
                <w:sz w:val="21"/>
                <w:szCs w:val="21"/>
              </w:rPr>
              <w:t>(</w:t>
            </w:r>
            <w:r>
              <w:rPr>
                <w:rFonts w:hint="eastAsia"/>
                <w:sz w:val="21"/>
                <w:szCs w:val="21"/>
              </w:rPr>
              <w:t>4</w:t>
            </w:r>
            <w:r>
              <w:rPr>
                <w:sz w:val="21"/>
                <w:szCs w:val="21"/>
              </w:rPr>
              <w:t>)</w:t>
            </w:r>
            <w:r>
              <w:rPr>
                <w:rFonts w:hint="eastAsia"/>
                <w:sz w:val="21"/>
                <w:szCs w:val="21"/>
              </w:rPr>
              <w:t>故障诊断与排除：掌握</w:t>
            </w:r>
            <w:r>
              <w:rPr>
                <w:sz w:val="21"/>
                <w:szCs w:val="21"/>
              </w:rPr>
              <w:t>PLC的常见故障及诊断方法，能够独立进行故障排查和修复</w:t>
            </w:r>
          </w:p>
        </w:tc>
        <w:tc>
          <w:tcPr>
            <w:tcW w:w="1567"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pStyle w:val="2"/>
              <w:rPr>
                <w:sz w:val="21"/>
                <w:szCs w:val="21"/>
              </w:rPr>
            </w:pPr>
            <w:r>
              <w:rPr>
                <w:sz w:val="21"/>
                <w:szCs w:val="21"/>
              </w:rPr>
              <w:t>(1)</w:t>
            </w:r>
            <w:r>
              <w:rPr>
                <w:rFonts w:hint="eastAsia"/>
                <w:sz w:val="21"/>
                <w:szCs w:val="21"/>
              </w:rPr>
              <w:t>编程能力：能够运用</w:t>
            </w:r>
            <w:r>
              <w:rPr>
                <w:sz w:val="21"/>
                <w:szCs w:val="21"/>
              </w:rPr>
              <w:t>PLC编程语言编写控制程序，实现特定的控制功能</w:t>
            </w:r>
          </w:p>
          <w:p>
            <w:pPr>
              <w:pStyle w:val="2"/>
              <w:rPr>
                <w:sz w:val="21"/>
                <w:szCs w:val="21"/>
              </w:rPr>
            </w:pPr>
            <w:r>
              <w:rPr>
                <w:sz w:val="21"/>
                <w:szCs w:val="21"/>
              </w:rPr>
              <w:t>(</w:t>
            </w:r>
            <w:r>
              <w:rPr>
                <w:rFonts w:hint="eastAsia"/>
                <w:sz w:val="21"/>
                <w:szCs w:val="21"/>
              </w:rPr>
              <w:t>2</w:t>
            </w:r>
            <w:r>
              <w:rPr>
                <w:sz w:val="21"/>
                <w:szCs w:val="21"/>
              </w:rPr>
              <w:t>)</w:t>
            </w:r>
            <w:r>
              <w:rPr>
                <w:rFonts w:hint="eastAsia"/>
                <w:sz w:val="21"/>
                <w:szCs w:val="21"/>
              </w:rPr>
              <w:t>实践能力：能够运用</w:t>
            </w:r>
            <w:r>
              <w:rPr>
                <w:sz w:val="21"/>
                <w:szCs w:val="21"/>
              </w:rPr>
              <w:t>PLC及相关设备进行实践操作，如安装、调试、测试等</w:t>
            </w:r>
          </w:p>
          <w:p>
            <w:pPr>
              <w:pStyle w:val="2"/>
              <w:rPr>
                <w:sz w:val="21"/>
                <w:szCs w:val="21"/>
              </w:rPr>
            </w:pPr>
            <w:r>
              <w:rPr>
                <w:sz w:val="21"/>
                <w:szCs w:val="21"/>
              </w:rPr>
              <w:t>(</w:t>
            </w:r>
            <w:r>
              <w:rPr>
                <w:rFonts w:hint="eastAsia"/>
                <w:sz w:val="21"/>
                <w:szCs w:val="21"/>
              </w:rPr>
              <w:t>2</w:t>
            </w:r>
            <w:r>
              <w:rPr>
                <w:sz w:val="21"/>
                <w:szCs w:val="21"/>
              </w:rPr>
              <w:t>)</w:t>
            </w:r>
            <w:r>
              <w:rPr>
                <w:rFonts w:hint="eastAsia"/>
                <w:sz w:val="21"/>
                <w:szCs w:val="21"/>
              </w:rPr>
              <w:t>解决问题的能力：能够分析并解决</w:t>
            </w:r>
            <w:r>
              <w:rPr>
                <w:sz w:val="21"/>
                <w:szCs w:val="21"/>
              </w:rPr>
              <w:t>PLC在应用中遇到的实际问题，如控制系统故障、程序错误等</w:t>
            </w:r>
          </w:p>
          <w:p>
            <w:pPr>
              <w:pStyle w:val="2"/>
              <w:rPr>
                <w:sz w:val="21"/>
                <w:szCs w:val="21"/>
              </w:rPr>
            </w:pPr>
            <w:r>
              <w:rPr>
                <w:sz w:val="21"/>
                <w:szCs w:val="21"/>
              </w:rPr>
              <w:t>(</w:t>
            </w:r>
            <w:r>
              <w:rPr>
                <w:rFonts w:hint="eastAsia"/>
                <w:sz w:val="21"/>
                <w:szCs w:val="21"/>
              </w:rPr>
              <w:t>3</w:t>
            </w:r>
            <w:r>
              <w:rPr>
                <w:sz w:val="21"/>
                <w:szCs w:val="21"/>
              </w:rPr>
              <w:t>)</w:t>
            </w:r>
            <w:r>
              <w:rPr>
                <w:rFonts w:hint="eastAsia"/>
                <w:sz w:val="21"/>
                <w:szCs w:val="21"/>
              </w:rPr>
              <w:t>学习能力：具备自主学习和持续学习的能力，能够关注</w:t>
            </w:r>
            <w:r>
              <w:rPr>
                <w:sz w:val="21"/>
                <w:szCs w:val="21"/>
              </w:rPr>
              <w:t>PLC技术的最新发展，并不断更新自己的知识和技能</w:t>
            </w:r>
          </w:p>
        </w:tc>
        <w:tc>
          <w:tcPr>
            <w:tcW w:w="559"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pStyle w:val="2"/>
              <w:jc w:val="center"/>
              <w:rPr>
                <w:sz w:val="21"/>
                <w:szCs w:val="21"/>
              </w:rPr>
            </w:pPr>
            <w:r>
              <w:rPr>
                <w:rFonts w:hint="eastAsia"/>
                <w:sz w:val="21"/>
                <w:szCs w:val="21"/>
              </w:rPr>
              <w:t>6</w:t>
            </w:r>
          </w:p>
        </w:tc>
        <w:tc>
          <w:tcPr>
            <w:tcW w:w="559" w:type="dxa"/>
            <w:tcBorders>
              <w:top w:val="single" w:color="auto" w:sz="4" w:space="0"/>
              <w:left w:val="single" w:color="auto" w:sz="4" w:space="0"/>
              <w:bottom w:val="single" w:color="auto" w:sz="4" w:space="0"/>
              <w:right w:val="single" w:color="000000" w:sz="12" w:space="0"/>
            </w:tcBorders>
            <w:shd w:val="clear" w:color="auto" w:fill="auto"/>
            <w:tcMar>
              <w:top w:w="10" w:type="dxa"/>
              <w:left w:w="10" w:type="dxa"/>
              <w:right w:w="10" w:type="dxa"/>
            </w:tcMar>
            <w:vAlign w:val="center"/>
          </w:tcPr>
          <w:p>
            <w:pPr>
              <w:pStyle w:val="2"/>
              <w:jc w:val="center"/>
              <w:rPr>
                <w:sz w:val="21"/>
                <w:szCs w:val="21"/>
              </w:rPr>
            </w:pPr>
            <w:r>
              <w:rPr>
                <w:rFonts w:hint="eastAsia"/>
                <w:sz w:val="21"/>
                <w:szCs w:val="21"/>
              </w:rPr>
              <w:t>2</w:t>
            </w:r>
          </w:p>
        </w:tc>
      </w:tr>
      <w:tr>
        <w:tblPrEx>
          <w:tblCellMar>
            <w:top w:w="0" w:type="dxa"/>
            <w:left w:w="0" w:type="dxa"/>
            <w:bottom w:w="0" w:type="dxa"/>
            <w:right w:w="0" w:type="dxa"/>
          </w:tblCellMar>
        </w:tblPrEx>
        <w:trPr>
          <w:trHeight w:val="377" w:hRule="atLeast"/>
        </w:trPr>
        <w:tc>
          <w:tcPr>
            <w:tcW w:w="467" w:type="dxa"/>
            <w:tcBorders>
              <w:top w:val="single" w:color="auto" w:sz="4" w:space="0"/>
              <w:left w:val="single" w:color="000000" w:sz="12" w:space="0"/>
              <w:bottom w:val="single" w:color="000000" w:sz="12" w:space="0"/>
              <w:right w:val="single" w:color="auto" w:sz="4" w:space="0"/>
            </w:tcBorders>
            <w:shd w:val="clear" w:color="auto" w:fill="auto"/>
            <w:tcMar>
              <w:top w:w="10" w:type="dxa"/>
              <w:left w:w="10" w:type="dxa"/>
              <w:right w:w="10" w:type="dxa"/>
            </w:tcMar>
            <w:vAlign w:val="center"/>
          </w:tcPr>
          <w:p>
            <w:pPr>
              <w:pStyle w:val="2"/>
              <w:jc w:val="center"/>
              <w:rPr>
                <w:sz w:val="21"/>
                <w:szCs w:val="21"/>
              </w:rPr>
            </w:pPr>
            <w:r>
              <w:rPr>
                <w:rFonts w:hint="eastAsia"/>
                <w:sz w:val="21"/>
                <w:szCs w:val="21"/>
              </w:rPr>
              <w:t>10</w:t>
            </w:r>
          </w:p>
        </w:tc>
        <w:tc>
          <w:tcPr>
            <w:tcW w:w="1172" w:type="dxa"/>
            <w:tcBorders>
              <w:top w:val="single" w:color="auto" w:sz="4" w:space="0"/>
              <w:left w:val="single" w:color="auto" w:sz="4" w:space="0"/>
              <w:bottom w:val="single" w:color="000000" w:sz="12" w:space="0"/>
              <w:right w:val="single" w:color="auto" w:sz="4" w:space="0"/>
            </w:tcBorders>
            <w:shd w:val="clear" w:color="auto" w:fill="auto"/>
            <w:tcMar>
              <w:top w:w="10" w:type="dxa"/>
              <w:left w:w="10" w:type="dxa"/>
              <w:right w:w="10" w:type="dxa"/>
            </w:tcMar>
            <w:vAlign w:val="center"/>
          </w:tcPr>
          <w:p>
            <w:pPr>
              <w:pStyle w:val="2"/>
              <w:jc w:val="center"/>
              <w:rPr>
                <w:sz w:val="21"/>
                <w:szCs w:val="21"/>
              </w:rPr>
            </w:pPr>
            <w:r>
              <w:rPr>
                <w:rFonts w:hint="eastAsia"/>
                <w:sz w:val="21"/>
                <w:szCs w:val="21"/>
              </w:rPr>
              <w:t>合计</w:t>
            </w:r>
          </w:p>
        </w:tc>
        <w:tc>
          <w:tcPr>
            <w:tcW w:w="1495" w:type="dxa"/>
            <w:tcBorders>
              <w:top w:val="single" w:color="auto" w:sz="4" w:space="0"/>
              <w:left w:val="single" w:color="auto" w:sz="4" w:space="0"/>
              <w:bottom w:val="single" w:color="000000" w:sz="12" w:space="0"/>
              <w:right w:val="single" w:color="auto" w:sz="4" w:space="0"/>
            </w:tcBorders>
            <w:shd w:val="clear" w:color="auto" w:fill="auto"/>
            <w:tcMar>
              <w:top w:w="10" w:type="dxa"/>
              <w:left w:w="10" w:type="dxa"/>
              <w:right w:w="10" w:type="dxa"/>
            </w:tcMar>
            <w:vAlign w:val="center"/>
          </w:tcPr>
          <w:p>
            <w:pPr>
              <w:pStyle w:val="2"/>
              <w:jc w:val="center"/>
              <w:rPr>
                <w:sz w:val="21"/>
                <w:szCs w:val="21"/>
              </w:rPr>
            </w:pPr>
          </w:p>
        </w:tc>
        <w:tc>
          <w:tcPr>
            <w:tcW w:w="1535" w:type="dxa"/>
            <w:tcBorders>
              <w:top w:val="single" w:color="auto" w:sz="4" w:space="0"/>
              <w:left w:val="single" w:color="auto" w:sz="4" w:space="0"/>
              <w:bottom w:val="single" w:color="000000" w:sz="12" w:space="0"/>
              <w:right w:val="single" w:color="auto" w:sz="4" w:space="0"/>
            </w:tcBorders>
            <w:shd w:val="clear" w:color="auto" w:fill="auto"/>
            <w:tcMar>
              <w:top w:w="10" w:type="dxa"/>
              <w:left w:w="10" w:type="dxa"/>
              <w:right w:w="10" w:type="dxa"/>
            </w:tcMar>
            <w:vAlign w:val="center"/>
          </w:tcPr>
          <w:p>
            <w:pPr>
              <w:pStyle w:val="2"/>
              <w:jc w:val="center"/>
              <w:rPr>
                <w:sz w:val="21"/>
                <w:szCs w:val="21"/>
              </w:rPr>
            </w:pPr>
          </w:p>
        </w:tc>
        <w:tc>
          <w:tcPr>
            <w:tcW w:w="1637" w:type="dxa"/>
            <w:tcBorders>
              <w:top w:val="single" w:color="auto" w:sz="4" w:space="0"/>
              <w:left w:val="single" w:color="auto" w:sz="4" w:space="0"/>
              <w:bottom w:val="single" w:color="000000" w:sz="12" w:space="0"/>
              <w:right w:val="single" w:color="auto" w:sz="4" w:space="0"/>
            </w:tcBorders>
            <w:shd w:val="clear" w:color="auto" w:fill="auto"/>
            <w:tcMar>
              <w:top w:w="10" w:type="dxa"/>
              <w:left w:w="10" w:type="dxa"/>
              <w:right w:w="10" w:type="dxa"/>
            </w:tcMar>
            <w:vAlign w:val="center"/>
          </w:tcPr>
          <w:p>
            <w:pPr>
              <w:pStyle w:val="2"/>
              <w:jc w:val="center"/>
              <w:rPr>
                <w:sz w:val="21"/>
                <w:szCs w:val="21"/>
              </w:rPr>
            </w:pPr>
          </w:p>
        </w:tc>
        <w:tc>
          <w:tcPr>
            <w:tcW w:w="1567" w:type="dxa"/>
            <w:tcBorders>
              <w:top w:val="single" w:color="auto" w:sz="4" w:space="0"/>
              <w:left w:val="single" w:color="auto" w:sz="4" w:space="0"/>
              <w:bottom w:val="single" w:color="000000" w:sz="12" w:space="0"/>
              <w:right w:val="single" w:color="auto" w:sz="4" w:space="0"/>
            </w:tcBorders>
            <w:shd w:val="clear" w:color="auto" w:fill="auto"/>
            <w:tcMar>
              <w:top w:w="10" w:type="dxa"/>
              <w:left w:w="10" w:type="dxa"/>
              <w:right w:w="10" w:type="dxa"/>
            </w:tcMar>
            <w:vAlign w:val="center"/>
          </w:tcPr>
          <w:p>
            <w:pPr>
              <w:pStyle w:val="2"/>
              <w:jc w:val="center"/>
              <w:rPr>
                <w:sz w:val="21"/>
                <w:szCs w:val="21"/>
              </w:rPr>
            </w:pPr>
          </w:p>
        </w:tc>
        <w:tc>
          <w:tcPr>
            <w:tcW w:w="559" w:type="dxa"/>
            <w:tcBorders>
              <w:top w:val="single" w:color="auto" w:sz="4" w:space="0"/>
              <w:left w:val="single" w:color="auto" w:sz="4" w:space="0"/>
              <w:bottom w:val="single" w:color="000000" w:sz="12" w:space="0"/>
              <w:right w:val="single" w:color="auto" w:sz="4" w:space="0"/>
            </w:tcBorders>
            <w:shd w:val="clear" w:color="auto" w:fill="auto"/>
            <w:tcMar>
              <w:top w:w="10" w:type="dxa"/>
              <w:left w:w="10" w:type="dxa"/>
              <w:right w:w="10" w:type="dxa"/>
            </w:tcMar>
            <w:vAlign w:val="center"/>
          </w:tcPr>
          <w:p>
            <w:pPr>
              <w:pStyle w:val="2"/>
              <w:jc w:val="center"/>
              <w:rPr>
                <w:sz w:val="21"/>
                <w:szCs w:val="21"/>
              </w:rPr>
            </w:pPr>
            <w:r>
              <w:rPr>
                <w:rFonts w:hint="eastAsia"/>
                <w:sz w:val="21"/>
                <w:szCs w:val="21"/>
              </w:rPr>
              <w:t>54</w:t>
            </w:r>
          </w:p>
        </w:tc>
        <w:tc>
          <w:tcPr>
            <w:tcW w:w="559" w:type="dxa"/>
            <w:tcBorders>
              <w:top w:val="single" w:color="auto" w:sz="4" w:space="0"/>
              <w:left w:val="single" w:color="auto" w:sz="4" w:space="0"/>
              <w:bottom w:val="single" w:color="000000" w:sz="12" w:space="0"/>
              <w:right w:val="single" w:color="000000" w:sz="12" w:space="0"/>
            </w:tcBorders>
            <w:shd w:val="clear" w:color="auto" w:fill="auto"/>
            <w:tcMar>
              <w:top w:w="10" w:type="dxa"/>
              <w:left w:w="10" w:type="dxa"/>
              <w:right w:w="10" w:type="dxa"/>
            </w:tcMar>
            <w:vAlign w:val="center"/>
          </w:tcPr>
          <w:p>
            <w:pPr>
              <w:pStyle w:val="2"/>
              <w:jc w:val="center"/>
              <w:rPr>
                <w:sz w:val="21"/>
                <w:szCs w:val="21"/>
              </w:rPr>
            </w:pPr>
            <w:r>
              <w:rPr>
                <w:rFonts w:hint="eastAsia"/>
                <w:sz w:val="21"/>
                <w:szCs w:val="21"/>
              </w:rPr>
              <w:t>18</w:t>
            </w:r>
          </w:p>
        </w:tc>
      </w:tr>
    </w:tbl>
    <w:p>
      <w:pPr>
        <w:pStyle w:val="2"/>
      </w:pPr>
    </w:p>
    <w:p>
      <w:pPr>
        <w:spacing w:after="0" w:line="240" w:lineRule="auto"/>
        <w:ind w:firstLine="454"/>
        <w:jc w:val="both"/>
        <w:rPr>
          <w:rFonts w:asciiTheme="minorEastAsia" w:hAnsiTheme="minorEastAsia" w:eastAsiaTheme="minorEastAsia"/>
        </w:rPr>
      </w:pPr>
      <w:r>
        <w:rPr>
          <w:rFonts w:hint="eastAsia" w:asciiTheme="minorEastAsia" w:hAnsiTheme="minorEastAsia" w:eastAsiaTheme="minorEastAsia"/>
        </w:rPr>
        <w:t>六、考核标准与方式设计</w:t>
      </w:r>
      <w:bookmarkEnd w:id="8"/>
    </w:p>
    <w:p>
      <w:pPr>
        <w:spacing w:after="0" w:line="240" w:lineRule="auto"/>
        <w:ind w:firstLine="454"/>
        <w:jc w:val="both"/>
        <w:rPr>
          <w:rFonts w:asciiTheme="minorEastAsia" w:hAnsiTheme="minorEastAsia" w:eastAsiaTheme="minorEastAsia"/>
        </w:rPr>
      </w:pPr>
      <w:bookmarkStart w:id="10" w:name="_Hlk140356650"/>
      <w:bookmarkStart w:id="11" w:name="_Hlk140358302"/>
      <w:r>
        <w:rPr>
          <w:rFonts w:hint="eastAsia" w:asciiTheme="minorEastAsia" w:hAnsiTheme="minorEastAsia" w:eastAsiaTheme="minorEastAsia"/>
        </w:rPr>
        <w:t>（一）考核标准</w:t>
      </w:r>
    </w:p>
    <w:p>
      <w:pPr>
        <w:spacing w:after="0" w:line="240" w:lineRule="auto"/>
        <w:ind w:firstLine="454"/>
        <w:jc w:val="both"/>
        <w:rPr>
          <w:rFonts w:asciiTheme="minorEastAsia" w:hAnsiTheme="minorEastAsia" w:eastAsiaTheme="minorEastAsia"/>
        </w:rPr>
      </w:pPr>
      <w:r>
        <w:rPr>
          <w:rFonts w:hint="eastAsia" w:asciiTheme="minorEastAsia" w:hAnsiTheme="minorEastAsia" w:eastAsiaTheme="minorEastAsia"/>
        </w:rPr>
        <w:t>课程考核标准依据课程目标建立课程考核的“应知”“应会”体系，</w:t>
      </w:r>
      <w:bookmarkEnd w:id="10"/>
      <w:r>
        <w:rPr>
          <w:rFonts w:hint="eastAsia" w:asciiTheme="minorEastAsia" w:hAnsiTheme="minorEastAsia" w:eastAsiaTheme="minorEastAsia"/>
        </w:rPr>
        <w:t>详见表2。</w:t>
      </w:r>
    </w:p>
    <w:p>
      <w:pPr>
        <w:spacing w:after="0" w:line="240" w:lineRule="auto"/>
        <w:ind w:firstLine="454"/>
        <w:jc w:val="center"/>
        <w:rPr>
          <w:rFonts w:asciiTheme="minorEastAsia" w:hAnsiTheme="minorEastAsia" w:eastAsiaTheme="minorEastAsia"/>
        </w:rPr>
      </w:pPr>
      <w:bookmarkStart w:id="12" w:name="_Hlk140356725"/>
      <w:r>
        <w:rPr>
          <w:rFonts w:hint="eastAsia" w:asciiTheme="minorEastAsia" w:hAnsiTheme="minorEastAsia" w:eastAsiaTheme="minorEastAsia"/>
        </w:rPr>
        <w:t>表2：课程考核标准表</w:t>
      </w:r>
      <w:bookmarkEnd w:id="11"/>
      <w:bookmarkEnd w:id="12"/>
    </w:p>
    <w:tbl>
      <w:tblPr>
        <w:tblStyle w:val="25"/>
        <w:tblW w:w="9320" w:type="dxa"/>
        <w:tblInd w:w="0" w:type="dxa"/>
        <w:tblBorders>
          <w:top w:val="single" w:color="000000" w:sz="12" w:space="0"/>
          <w:left w:val="single" w:color="000000" w:sz="12" w:space="0"/>
          <w:bottom w:val="single" w:color="000000" w:sz="12" w:space="0"/>
          <w:right w:val="single" w:color="000000" w:sz="12" w:space="0"/>
          <w:insideH w:val="single" w:color="auto" w:sz="4" w:space="0"/>
          <w:insideV w:val="single" w:color="auto" w:sz="4" w:space="0"/>
        </w:tblBorders>
        <w:tblLayout w:type="autofit"/>
        <w:tblCellMar>
          <w:top w:w="0" w:type="dxa"/>
          <w:left w:w="0" w:type="dxa"/>
          <w:bottom w:w="0" w:type="dxa"/>
          <w:right w:w="0" w:type="dxa"/>
        </w:tblCellMar>
      </w:tblPr>
      <w:tblGrid>
        <w:gridCol w:w="990"/>
        <w:gridCol w:w="1570"/>
        <w:gridCol w:w="3490"/>
        <w:gridCol w:w="3270"/>
      </w:tblGrid>
      <w:tr>
        <w:tblPrEx>
          <w:tblBorders>
            <w:top w:val="single" w:color="000000" w:sz="12" w:space="0"/>
            <w:left w:val="single" w:color="000000" w:sz="12" w:space="0"/>
            <w:bottom w:val="single" w:color="000000" w:sz="12" w:space="0"/>
            <w:right w:val="single" w:color="000000" w:sz="12" w:space="0"/>
            <w:insideH w:val="single" w:color="auto" w:sz="4" w:space="0"/>
            <w:insideV w:val="single" w:color="auto" w:sz="4" w:space="0"/>
          </w:tblBorders>
          <w:tblCellMar>
            <w:top w:w="0" w:type="dxa"/>
            <w:left w:w="0" w:type="dxa"/>
            <w:bottom w:w="0" w:type="dxa"/>
            <w:right w:w="0" w:type="dxa"/>
          </w:tblCellMar>
        </w:tblPrEx>
        <w:trPr>
          <w:trHeight w:val="524" w:hRule="atLeast"/>
          <w:tblHeader/>
        </w:trPr>
        <w:tc>
          <w:tcPr>
            <w:tcW w:w="990" w:type="dxa"/>
            <w:shd w:val="clear" w:color="auto" w:fill="auto"/>
            <w:tcMar>
              <w:top w:w="10" w:type="dxa"/>
              <w:left w:w="10" w:type="dxa"/>
              <w:right w:w="10" w:type="dxa"/>
            </w:tcMar>
            <w:vAlign w:val="center"/>
          </w:tcPr>
          <w:p>
            <w:pPr>
              <w:pStyle w:val="2"/>
              <w:jc w:val="center"/>
              <w:rPr>
                <w:b/>
                <w:bCs/>
                <w:sz w:val="21"/>
                <w:szCs w:val="21"/>
              </w:rPr>
            </w:pPr>
            <w:r>
              <w:rPr>
                <w:rFonts w:hint="eastAsia"/>
                <w:b/>
                <w:bCs/>
                <w:sz w:val="21"/>
                <w:szCs w:val="21"/>
              </w:rPr>
              <w:t>序号</w:t>
            </w:r>
          </w:p>
        </w:tc>
        <w:tc>
          <w:tcPr>
            <w:tcW w:w="1570" w:type="dxa"/>
            <w:shd w:val="clear" w:color="auto" w:fill="auto"/>
            <w:tcMar>
              <w:top w:w="10" w:type="dxa"/>
              <w:left w:w="10" w:type="dxa"/>
              <w:right w:w="10" w:type="dxa"/>
            </w:tcMar>
            <w:vAlign w:val="center"/>
          </w:tcPr>
          <w:p>
            <w:pPr>
              <w:pStyle w:val="2"/>
              <w:jc w:val="center"/>
              <w:rPr>
                <w:b/>
                <w:bCs/>
                <w:sz w:val="21"/>
                <w:szCs w:val="21"/>
              </w:rPr>
            </w:pPr>
            <w:r>
              <w:rPr>
                <w:rFonts w:hint="eastAsia"/>
                <w:b/>
                <w:bCs/>
                <w:sz w:val="21"/>
                <w:szCs w:val="21"/>
              </w:rPr>
              <w:t>教学单元</w:t>
            </w:r>
          </w:p>
        </w:tc>
        <w:tc>
          <w:tcPr>
            <w:tcW w:w="3490" w:type="dxa"/>
            <w:shd w:val="clear" w:color="auto" w:fill="auto"/>
            <w:tcMar>
              <w:top w:w="10" w:type="dxa"/>
              <w:left w:w="10" w:type="dxa"/>
              <w:right w:w="10" w:type="dxa"/>
            </w:tcMar>
            <w:vAlign w:val="center"/>
          </w:tcPr>
          <w:p>
            <w:pPr>
              <w:pStyle w:val="2"/>
              <w:jc w:val="center"/>
              <w:rPr>
                <w:b/>
                <w:bCs/>
                <w:sz w:val="21"/>
                <w:szCs w:val="21"/>
              </w:rPr>
            </w:pPr>
            <w:r>
              <w:rPr>
                <w:rFonts w:hint="eastAsia"/>
                <w:b/>
                <w:bCs/>
                <w:sz w:val="21"/>
                <w:szCs w:val="21"/>
              </w:rPr>
              <w:t>应知</w:t>
            </w:r>
          </w:p>
        </w:tc>
        <w:tc>
          <w:tcPr>
            <w:tcW w:w="3270" w:type="dxa"/>
            <w:shd w:val="clear" w:color="auto" w:fill="auto"/>
            <w:tcMar>
              <w:top w:w="10" w:type="dxa"/>
              <w:left w:w="10" w:type="dxa"/>
              <w:right w:w="10" w:type="dxa"/>
            </w:tcMar>
            <w:vAlign w:val="center"/>
          </w:tcPr>
          <w:p>
            <w:pPr>
              <w:pStyle w:val="2"/>
              <w:jc w:val="center"/>
              <w:rPr>
                <w:b/>
                <w:bCs/>
                <w:sz w:val="21"/>
                <w:szCs w:val="21"/>
              </w:rPr>
            </w:pPr>
            <w:r>
              <w:rPr>
                <w:rFonts w:hint="eastAsia"/>
                <w:b/>
                <w:bCs/>
                <w:sz w:val="21"/>
                <w:szCs w:val="21"/>
              </w:rPr>
              <w:t>应会</w:t>
            </w:r>
          </w:p>
        </w:tc>
      </w:tr>
      <w:tr>
        <w:tblPrEx>
          <w:tblBorders>
            <w:top w:val="single" w:color="000000" w:sz="12" w:space="0"/>
            <w:left w:val="single" w:color="000000" w:sz="12" w:space="0"/>
            <w:bottom w:val="single" w:color="000000" w:sz="12" w:space="0"/>
            <w:right w:val="single" w:color="000000" w:sz="12" w:space="0"/>
            <w:insideH w:val="single" w:color="auto" w:sz="4" w:space="0"/>
            <w:insideV w:val="single" w:color="auto" w:sz="4" w:space="0"/>
          </w:tblBorders>
          <w:tblCellMar>
            <w:top w:w="0" w:type="dxa"/>
            <w:left w:w="0" w:type="dxa"/>
            <w:bottom w:w="0" w:type="dxa"/>
            <w:right w:w="0" w:type="dxa"/>
          </w:tblCellMar>
        </w:tblPrEx>
        <w:trPr>
          <w:trHeight w:val="1171" w:hRule="atLeast"/>
        </w:trPr>
        <w:tc>
          <w:tcPr>
            <w:tcW w:w="990" w:type="dxa"/>
            <w:vMerge w:val="restart"/>
            <w:shd w:val="clear" w:color="auto" w:fill="auto"/>
            <w:tcMar>
              <w:top w:w="10" w:type="dxa"/>
              <w:left w:w="10" w:type="dxa"/>
              <w:right w:w="10" w:type="dxa"/>
            </w:tcMar>
            <w:vAlign w:val="center"/>
          </w:tcPr>
          <w:p>
            <w:pPr>
              <w:pStyle w:val="2"/>
              <w:jc w:val="center"/>
              <w:rPr>
                <w:sz w:val="21"/>
                <w:szCs w:val="21"/>
              </w:rPr>
            </w:pPr>
            <w:r>
              <w:rPr>
                <w:rFonts w:hint="eastAsia"/>
                <w:sz w:val="21"/>
                <w:szCs w:val="21"/>
              </w:rPr>
              <w:t>1</w:t>
            </w:r>
          </w:p>
        </w:tc>
        <w:tc>
          <w:tcPr>
            <w:tcW w:w="1570" w:type="dxa"/>
            <w:vMerge w:val="restart"/>
            <w:shd w:val="clear" w:color="auto" w:fill="auto"/>
            <w:tcMar>
              <w:top w:w="10" w:type="dxa"/>
              <w:left w:w="10" w:type="dxa"/>
              <w:right w:w="10" w:type="dxa"/>
            </w:tcMar>
            <w:vAlign w:val="center"/>
          </w:tcPr>
          <w:p>
            <w:pPr>
              <w:pStyle w:val="2"/>
              <w:jc w:val="center"/>
              <w:rPr>
                <w:sz w:val="21"/>
                <w:szCs w:val="21"/>
              </w:rPr>
            </w:pPr>
            <w:r>
              <w:rPr>
                <w:rFonts w:hint="eastAsia"/>
                <w:sz w:val="21"/>
                <w:szCs w:val="21"/>
              </w:rPr>
              <w:t>电路基础理论和分析方法</w:t>
            </w:r>
          </w:p>
        </w:tc>
        <w:tc>
          <w:tcPr>
            <w:tcW w:w="3490" w:type="dxa"/>
            <w:vMerge w:val="restart"/>
            <w:shd w:val="clear" w:color="auto" w:fill="auto"/>
            <w:tcMar>
              <w:top w:w="10" w:type="dxa"/>
              <w:left w:w="10" w:type="dxa"/>
              <w:right w:w="10" w:type="dxa"/>
            </w:tcMar>
            <w:vAlign w:val="center"/>
          </w:tcPr>
          <w:p>
            <w:pPr>
              <w:pStyle w:val="2"/>
              <w:rPr>
                <w:sz w:val="21"/>
                <w:szCs w:val="21"/>
              </w:rPr>
            </w:pPr>
            <w:r>
              <w:rPr>
                <w:sz w:val="21"/>
                <w:szCs w:val="21"/>
              </w:rPr>
              <w:t>(1)</w:t>
            </w:r>
            <w:r>
              <w:rPr>
                <w:rFonts w:hint="eastAsia"/>
                <w:sz w:val="21"/>
                <w:szCs w:val="21"/>
              </w:rPr>
              <w:t>电路基本概念：电路的定义、分类（直流电路、交流电路、模拟电路、数字电路等）电路中的基本物理量，如电流、电压、电阻、电感和电容等</w:t>
            </w:r>
          </w:p>
          <w:p>
            <w:pPr>
              <w:pStyle w:val="2"/>
              <w:rPr>
                <w:sz w:val="21"/>
                <w:szCs w:val="21"/>
              </w:rPr>
            </w:pPr>
            <w:r>
              <w:rPr>
                <w:sz w:val="21"/>
                <w:szCs w:val="21"/>
              </w:rPr>
              <w:t>(</w:t>
            </w:r>
            <w:r>
              <w:rPr>
                <w:rFonts w:hint="eastAsia"/>
                <w:sz w:val="21"/>
                <w:szCs w:val="21"/>
              </w:rPr>
              <w:t>2</w:t>
            </w:r>
            <w:r>
              <w:rPr>
                <w:sz w:val="21"/>
                <w:szCs w:val="21"/>
              </w:rPr>
              <w:t>)</w:t>
            </w:r>
            <w:r>
              <w:rPr>
                <w:rFonts w:hint="eastAsia"/>
                <w:sz w:val="21"/>
                <w:szCs w:val="21"/>
              </w:rPr>
              <w:t>电路定律和定理：欧姆定律、基尔霍夫电流定律（</w:t>
            </w:r>
            <w:r>
              <w:rPr>
                <w:sz w:val="21"/>
                <w:szCs w:val="21"/>
              </w:rPr>
              <w:t>KCL）和基尔霍夫电压定律（KVL）</w:t>
            </w:r>
            <w:r>
              <w:rPr>
                <w:rFonts w:hint="eastAsia"/>
                <w:sz w:val="21"/>
                <w:szCs w:val="21"/>
              </w:rPr>
              <w:t>，戴维南定理、诺顿定理和叠加定理等电路分析中的重要定理</w:t>
            </w:r>
          </w:p>
          <w:p>
            <w:pPr>
              <w:pStyle w:val="2"/>
              <w:rPr>
                <w:sz w:val="21"/>
                <w:szCs w:val="21"/>
              </w:rPr>
            </w:pPr>
            <w:r>
              <w:rPr>
                <w:sz w:val="21"/>
                <w:szCs w:val="21"/>
              </w:rPr>
              <w:t>(</w:t>
            </w:r>
            <w:r>
              <w:rPr>
                <w:rFonts w:hint="eastAsia"/>
                <w:sz w:val="21"/>
                <w:szCs w:val="21"/>
              </w:rPr>
              <w:t>3</w:t>
            </w:r>
            <w:r>
              <w:rPr>
                <w:sz w:val="21"/>
                <w:szCs w:val="21"/>
              </w:rPr>
              <w:t>)</w:t>
            </w:r>
            <w:r>
              <w:rPr>
                <w:rFonts w:hint="eastAsia"/>
                <w:sz w:val="21"/>
                <w:szCs w:val="21"/>
              </w:rPr>
              <w:t>交流电路分析：正弦交流电的基本概念，如频率、周期、相位和有效值</w:t>
            </w:r>
          </w:p>
          <w:p>
            <w:pPr>
              <w:pStyle w:val="2"/>
              <w:rPr>
                <w:sz w:val="21"/>
                <w:szCs w:val="21"/>
              </w:rPr>
            </w:pPr>
            <w:r>
              <w:rPr>
                <w:sz w:val="21"/>
                <w:szCs w:val="21"/>
              </w:rPr>
              <w:t>(</w:t>
            </w:r>
            <w:r>
              <w:rPr>
                <w:rFonts w:hint="eastAsia"/>
                <w:sz w:val="21"/>
                <w:szCs w:val="21"/>
              </w:rPr>
              <w:t>4</w:t>
            </w:r>
            <w:r>
              <w:rPr>
                <w:sz w:val="21"/>
                <w:szCs w:val="21"/>
              </w:rPr>
              <w:t>)</w:t>
            </w:r>
            <w:r>
              <w:rPr>
                <w:rFonts w:hint="eastAsia"/>
                <w:sz w:val="21"/>
                <w:szCs w:val="21"/>
              </w:rPr>
              <w:t>电路分析方法：等效变换、节点电压法、网孔电流法等电路分析方法</w:t>
            </w:r>
          </w:p>
        </w:tc>
        <w:tc>
          <w:tcPr>
            <w:tcW w:w="3270" w:type="dxa"/>
            <w:vMerge w:val="restart"/>
            <w:shd w:val="clear" w:color="auto" w:fill="auto"/>
            <w:tcMar>
              <w:top w:w="10" w:type="dxa"/>
              <w:left w:w="10" w:type="dxa"/>
              <w:right w:w="10" w:type="dxa"/>
            </w:tcMar>
            <w:vAlign w:val="center"/>
          </w:tcPr>
          <w:p>
            <w:pPr>
              <w:pStyle w:val="2"/>
              <w:rPr>
                <w:sz w:val="21"/>
                <w:szCs w:val="21"/>
              </w:rPr>
            </w:pPr>
            <w:r>
              <w:rPr>
                <w:sz w:val="21"/>
                <w:szCs w:val="21"/>
              </w:rPr>
              <w:t>(1)</w:t>
            </w:r>
            <w:r>
              <w:rPr>
                <w:rFonts w:hint="eastAsia"/>
                <w:sz w:val="21"/>
                <w:szCs w:val="21"/>
              </w:rPr>
              <w:t>电路图绘制：根据电路描述绘制出相应的电路图</w:t>
            </w:r>
          </w:p>
          <w:p>
            <w:pPr>
              <w:pStyle w:val="2"/>
              <w:rPr>
                <w:sz w:val="21"/>
                <w:szCs w:val="21"/>
              </w:rPr>
            </w:pPr>
            <w:r>
              <w:rPr>
                <w:rFonts w:hint="eastAsia"/>
                <w:sz w:val="21"/>
                <w:szCs w:val="21"/>
              </w:rPr>
              <w:t>电路图中的符号、标记和连接方式</w:t>
            </w:r>
          </w:p>
          <w:p>
            <w:pPr>
              <w:pStyle w:val="2"/>
              <w:rPr>
                <w:sz w:val="21"/>
                <w:szCs w:val="21"/>
              </w:rPr>
            </w:pPr>
            <w:r>
              <w:rPr>
                <w:sz w:val="21"/>
                <w:szCs w:val="21"/>
              </w:rPr>
              <w:t>(</w:t>
            </w:r>
            <w:r>
              <w:rPr>
                <w:rFonts w:hint="eastAsia"/>
                <w:sz w:val="21"/>
                <w:szCs w:val="21"/>
              </w:rPr>
              <w:t>2</w:t>
            </w:r>
            <w:r>
              <w:rPr>
                <w:sz w:val="21"/>
                <w:szCs w:val="21"/>
              </w:rPr>
              <w:t>)</w:t>
            </w:r>
            <w:r>
              <w:rPr>
                <w:rFonts w:hint="eastAsia"/>
                <w:sz w:val="21"/>
                <w:szCs w:val="21"/>
              </w:rPr>
              <w:t>电路分析：  使用基本电路定律和定理对电路进行定性和定量分析</w:t>
            </w:r>
          </w:p>
          <w:p>
            <w:pPr>
              <w:pStyle w:val="2"/>
              <w:rPr>
                <w:sz w:val="21"/>
                <w:szCs w:val="21"/>
              </w:rPr>
            </w:pPr>
            <w:r>
              <w:rPr>
                <w:rFonts w:hint="eastAsia"/>
                <w:sz w:val="21"/>
                <w:szCs w:val="21"/>
              </w:rPr>
              <w:t>利用电路分析方法求解电路中的未知量，如电压、电流等</w:t>
            </w:r>
          </w:p>
          <w:p>
            <w:pPr>
              <w:pStyle w:val="2"/>
              <w:rPr>
                <w:sz w:val="21"/>
                <w:szCs w:val="21"/>
              </w:rPr>
            </w:pPr>
            <w:r>
              <w:rPr>
                <w:sz w:val="21"/>
                <w:szCs w:val="21"/>
              </w:rPr>
              <w:t>(</w:t>
            </w:r>
            <w:r>
              <w:rPr>
                <w:rFonts w:hint="eastAsia"/>
                <w:sz w:val="21"/>
                <w:szCs w:val="21"/>
              </w:rPr>
              <w:t>3</w:t>
            </w:r>
            <w:r>
              <w:rPr>
                <w:sz w:val="21"/>
                <w:szCs w:val="21"/>
              </w:rPr>
              <w:t>)</w:t>
            </w:r>
            <w:r>
              <w:rPr>
                <w:rFonts w:hint="eastAsia"/>
                <w:sz w:val="21"/>
                <w:szCs w:val="21"/>
              </w:rPr>
              <w:t>实验操作：使用实验设备（如万用表、示波器等）对电路进行测量和分析</w:t>
            </w:r>
          </w:p>
          <w:p>
            <w:pPr>
              <w:pStyle w:val="2"/>
              <w:rPr>
                <w:sz w:val="21"/>
                <w:szCs w:val="21"/>
              </w:rPr>
            </w:pPr>
            <w:r>
              <w:rPr>
                <w:rFonts w:hint="eastAsia"/>
                <w:sz w:val="21"/>
                <w:szCs w:val="21"/>
              </w:rPr>
              <w:t>根据实验数据验证理论分析结果，并进行误差分析</w:t>
            </w:r>
          </w:p>
          <w:p>
            <w:pPr>
              <w:pStyle w:val="2"/>
              <w:rPr>
                <w:sz w:val="21"/>
                <w:szCs w:val="21"/>
              </w:rPr>
            </w:pPr>
            <w:r>
              <w:rPr>
                <w:sz w:val="21"/>
                <w:szCs w:val="21"/>
              </w:rPr>
              <w:t>(</w:t>
            </w:r>
            <w:r>
              <w:rPr>
                <w:rFonts w:hint="eastAsia"/>
                <w:sz w:val="21"/>
                <w:szCs w:val="21"/>
              </w:rPr>
              <w:t>4</w:t>
            </w:r>
            <w:r>
              <w:rPr>
                <w:sz w:val="21"/>
                <w:szCs w:val="21"/>
              </w:rPr>
              <w:t>)</w:t>
            </w:r>
            <w:r>
              <w:rPr>
                <w:rFonts w:hint="eastAsia"/>
                <w:sz w:val="21"/>
                <w:szCs w:val="21"/>
              </w:rPr>
              <w:t>应用实践：将所学的电路基础理论和分析方法应用到实际工程中，如建筑消防系统的电气设计、安装和调试等</w:t>
            </w:r>
          </w:p>
        </w:tc>
      </w:tr>
      <w:tr>
        <w:tblPrEx>
          <w:tblBorders>
            <w:top w:val="single" w:color="000000" w:sz="12" w:space="0"/>
            <w:left w:val="single" w:color="000000" w:sz="12" w:space="0"/>
            <w:bottom w:val="single" w:color="000000" w:sz="12" w:space="0"/>
            <w:right w:val="single" w:color="000000" w:sz="12" w:space="0"/>
            <w:insideH w:val="single" w:color="auto" w:sz="4" w:space="0"/>
            <w:insideV w:val="single" w:color="auto" w:sz="4" w:space="0"/>
          </w:tblBorders>
          <w:tblCellMar>
            <w:top w:w="0" w:type="dxa"/>
            <w:left w:w="0" w:type="dxa"/>
            <w:bottom w:w="0" w:type="dxa"/>
            <w:right w:w="0" w:type="dxa"/>
          </w:tblCellMar>
        </w:tblPrEx>
        <w:trPr>
          <w:trHeight w:val="616" w:hRule="atLeast"/>
        </w:trPr>
        <w:tc>
          <w:tcPr>
            <w:tcW w:w="990" w:type="dxa"/>
            <w:vMerge w:val="continue"/>
            <w:shd w:val="clear" w:color="auto" w:fill="auto"/>
            <w:tcMar>
              <w:top w:w="10" w:type="dxa"/>
              <w:left w:w="10" w:type="dxa"/>
              <w:right w:w="10" w:type="dxa"/>
            </w:tcMar>
            <w:vAlign w:val="center"/>
          </w:tcPr>
          <w:p>
            <w:pPr>
              <w:pStyle w:val="2"/>
              <w:jc w:val="center"/>
              <w:rPr>
                <w:sz w:val="21"/>
                <w:szCs w:val="21"/>
              </w:rPr>
            </w:pPr>
          </w:p>
        </w:tc>
        <w:tc>
          <w:tcPr>
            <w:tcW w:w="1570" w:type="dxa"/>
            <w:vMerge w:val="continue"/>
            <w:shd w:val="clear" w:color="auto" w:fill="auto"/>
            <w:tcMar>
              <w:top w:w="10" w:type="dxa"/>
              <w:left w:w="10" w:type="dxa"/>
              <w:right w:w="10" w:type="dxa"/>
            </w:tcMar>
            <w:vAlign w:val="center"/>
          </w:tcPr>
          <w:p>
            <w:pPr>
              <w:pStyle w:val="2"/>
              <w:jc w:val="center"/>
              <w:rPr>
                <w:sz w:val="21"/>
                <w:szCs w:val="21"/>
              </w:rPr>
            </w:pPr>
          </w:p>
        </w:tc>
        <w:tc>
          <w:tcPr>
            <w:tcW w:w="3490" w:type="dxa"/>
            <w:vMerge w:val="continue"/>
            <w:shd w:val="clear" w:color="auto" w:fill="auto"/>
            <w:tcMar>
              <w:top w:w="10" w:type="dxa"/>
              <w:left w:w="10" w:type="dxa"/>
              <w:right w:w="10" w:type="dxa"/>
            </w:tcMar>
            <w:vAlign w:val="center"/>
          </w:tcPr>
          <w:p>
            <w:pPr>
              <w:pStyle w:val="2"/>
              <w:rPr>
                <w:sz w:val="21"/>
                <w:szCs w:val="21"/>
              </w:rPr>
            </w:pPr>
          </w:p>
        </w:tc>
        <w:tc>
          <w:tcPr>
            <w:tcW w:w="3270" w:type="dxa"/>
            <w:vMerge w:val="continue"/>
            <w:shd w:val="clear" w:color="auto" w:fill="auto"/>
            <w:tcMar>
              <w:top w:w="10" w:type="dxa"/>
              <w:left w:w="10" w:type="dxa"/>
              <w:right w:w="10" w:type="dxa"/>
            </w:tcMar>
            <w:vAlign w:val="center"/>
          </w:tcPr>
          <w:p>
            <w:pPr>
              <w:pStyle w:val="2"/>
              <w:rPr>
                <w:sz w:val="21"/>
                <w:szCs w:val="21"/>
              </w:rPr>
            </w:pPr>
          </w:p>
        </w:tc>
      </w:tr>
      <w:tr>
        <w:tblPrEx>
          <w:tblBorders>
            <w:top w:val="single" w:color="000000" w:sz="12" w:space="0"/>
            <w:left w:val="single" w:color="000000" w:sz="12" w:space="0"/>
            <w:bottom w:val="single" w:color="000000" w:sz="12" w:space="0"/>
            <w:right w:val="single" w:color="000000" w:sz="12" w:space="0"/>
            <w:insideH w:val="single" w:color="auto" w:sz="4" w:space="0"/>
            <w:insideV w:val="single" w:color="auto" w:sz="4" w:space="0"/>
          </w:tblBorders>
          <w:tblCellMar>
            <w:top w:w="0" w:type="dxa"/>
            <w:left w:w="0" w:type="dxa"/>
            <w:bottom w:w="0" w:type="dxa"/>
            <w:right w:w="0" w:type="dxa"/>
          </w:tblCellMar>
        </w:tblPrEx>
        <w:trPr>
          <w:trHeight w:val="616" w:hRule="atLeast"/>
        </w:trPr>
        <w:tc>
          <w:tcPr>
            <w:tcW w:w="990" w:type="dxa"/>
            <w:vMerge w:val="continue"/>
            <w:shd w:val="clear" w:color="auto" w:fill="auto"/>
            <w:tcMar>
              <w:top w:w="10" w:type="dxa"/>
              <w:left w:w="10" w:type="dxa"/>
              <w:right w:w="10" w:type="dxa"/>
            </w:tcMar>
            <w:vAlign w:val="center"/>
          </w:tcPr>
          <w:p>
            <w:pPr>
              <w:pStyle w:val="2"/>
              <w:jc w:val="center"/>
              <w:rPr>
                <w:sz w:val="21"/>
                <w:szCs w:val="21"/>
              </w:rPr>
            </w:pPr>
          </w:p>
        </w:tc>
        <w:tc>
          <w:tcPr>
            <w:tcW w:w="1570" w:type="dxa"/>
            <w:vMerge w:val="continue"/>
            <w:shd w:val="clear" w:color="auto" w:fill="auto"/>
            <w:tcMar>
              <w:top w:w="10" w:type="dxa"/>
              <w:left w:w="10" w:type="dxa"/>
              <w:right w:w="10" w:type="dxa"/>
            </w:tcMar>
            <w:vAlign w:val="center"/>
          </w:tcPr>
          <w:p>
            <w:pPr>
              <w:pStyle w:val="2"/>
              <w:jc w:val="center"/>
              <w:rPr>
                <w:sz w:val="21"/>
                <w:szCs w:val="21"/>
              </w:rPr>
            </w:pPr>
          </w:p>
        </w:tc>
        <w:tc>
          <w:tcPr>
            <w:tcW w:w="3490" w:type="dxa"/>
            <w:vMerge w:val="continue"/>
            <w:shd w:val="clear" w:color="auto" w:fill="auto"/>
            <w:tcMar>
              <w:top w:w="10" w:type="dxa"/>
              <w:left w:w="10" w:type="dxa"/>
              <w:right w:w="10" w:type="dxa"/>
            </w:tcMar>
            <w:vAlign w:val="center"/>
          </w:tcPr>
          <w:p>
            <w:pPr>
              <w:pStyle w:val="2"/>
              <w:rPr>
                <w:sz w:val="21"/>
                <w:szCs w:val="21"/>
              </w:rPr>
            </w:pPr>
          </w:p>
        </w:tc>
        <w:tc>
          <w:tcPr>
            <w:tcW w:w="3270" w:type="dxa"/>
            <w:vMerge w:val="continue"/>
            <w:shd w:val="clear" w:color="auto" w:fill="auto"/>
            <w:tcMar>
              <w:top w:w="10" w:type="dxa"/>
              <w:left w:w="10" w:type="dxa"/>
              <w:right w:w="10" w:type="dxa"/>
            </w:tcMar>
            <w:vAlign w:val="center"/>
          </w:tcPr>
          <w:p>
            <w:pPr>
              <w:pStyle w:val="2"/>
              <w:rPr>
                <w:sz w:val="21"/>
                <w:szCs w:val="21"/>
              </w:rPr>
            </w:pPr>
          </w:p>
        </w:tc>
      </w:tr>
      <w:tr>
        <w:tblPrEx>
          <w:tblBorders>
            <w:top w:val="single" w:color="000000" w:sz="12" w:space="0"/>
            <w:left w:val="single" w:color="000000" w:sz="12" w:space="0"/>
            <w:bottom w:val="single" w:color="000000" w:sz="12" w:space="0"/>
            <w:right w:val="single" w:color="000000" w:sz="12" w:space="0"/>
            <w:insideH w:val="single" w:color="auto" w:sz="4" w:space="0"/>
            <w:insideV w:val="single" w:color="auto" w:sz="4" w:space="0"/>
          </w:tblBorders>
          <w:tblCellMar>
            <w:top w:w="0" w:type="dxa"/>
            <w:left w:w="0" w:type="dxa"/>
            <w:bottom w:w="0" w:type="dxa"/>
            <w:right w:w="0" w:type="dxa"/>
          </w:tblCellMar>
        </w:tblPrEx>
        <w:trPr>
          <w:trHeight w:val="616" w:hRule="atLeast"/>
        </w:trPr>
        <w:tc>
          <w:tcPr>
            <w:tcW w:w="990" w:type="dxa"/>
            <w:vMerge w:val="continue"/>
            <w:shd w:val="clear" w:color="auto" w:fill="auto"/>
            <w:tcMar>
              <w:top w:w="10" w:type="dxa"/>
              <w:left w:w="10" w:type="dxa"/>
              <w:right w:w="10" w:type="dxa"/>
            </w:tcMar>
            <w:vAlign w:val="center"/>
          </w:tcPr>
          <w:p>
            <w:pPr>
              <w:pStyle w:val="2"/>
              <w:jc w:val="center"/>
              <w:rPr>
                <w:sz w:val="21"/>
                <w:szCs w:val="21"/>
              </w:rPr>
            </w:pPr>
          </w:p>
        </w:tc>
        <w:tc>
          <w:tcPr>
            <w:tcW w:w="1570" w:type="dxa"/>
            <w:vMerge w:val="continue"/>
            <w:shd w:val="clear" w:color="auto" w:fill="auto"/>
            <w:tcMar>
              <w:top w:w="10" w:type="dxa"/>
              <w:left w:w="10" w:type="dxa"/>
              <w:right w:w="10" w:type="dxa"/>
            </w:tcMar>
            <w:vAlign w:val="center"/>
          </w:tcPr>
          <w:p>
            <w:pPr>
              <w:pStyle w:val="2"/>
              <w:jc w:val="center"/>
              <w:rPr>
                <w:sz w:val="21"/>
                <w:szCs w:val="21"/>
              </w:rPr>
            </w:pPr>
          </w:p>
        </w:tc>
        <w:tc>
          <w:tcPr>
            <w:tcW w:w="3490" w:type="dxa"/>
            <w:vMerge w:val="continue"/>
            <w:shd w:val="clear" w:color="auto" w:fill="auto"/>
            <w:tcMar>
              <w:top w:w="10" w:type="dxa"/>
              <w:left w:w="10" w:type="dxa"/>
              <w:right w:w="10" w:type="dxa"/>
            </w:tcMar>
            <w:vAlign w:val="center"/>
          </w:tcPr>
          <w:p>
            <w:pPr>
              <w:pStyle w:val="2"/>
              <w:rPr>
                <w:sz w:val="21"/>
                <w:szCs w:val="21"/>
              </w:rPr>
            </w:pPr>
          </w:p>
        </w:tc>
        <w:tc>
          <w:tcPr>
            <w:tcW w:w="3270" w:type="dxa"/>
            <w:vMerge w:val="continue"/>
            <w:shd w:val="clear" w:color="auto" w:fill="auto"/>
            <w:tcMar>
              <w:top w:w="10" w:type="dxa"/>
              <w:left w:w="10" w:type="dxa"/>
              <w:right w:w="10" w:type="dxa"/>
            </w:tcMar>
            <w:vAlign w:val="center"/>
          </w:tcPr>
          <w:p>
            <w:pPr>
              <w:pStyle w:val="2"/>
              <w:rPr>
                <w:sz w:val="21"/>
                <w:szCs w:val="21"/>
              </w:rPr>
            </w:pPr>
          </w:p>
        </w:tc>
      </w:tr>
      <w:tr>
        <w:tblPrEx>
          <w:tblBorders>
            <w:top w:val="single" w:color="000000" w:sz="12" w:space="0"/>
            <w:left w:val="single" w:color="000000" w:sz="12" w:space="0"/>
            <w:bottom w:val="single" w:color="000000" w:sz="12" w:space="0"/>
            <w:right w:val="single" w:color="000000" w:sz="12" w:space="0"/>
            <w:insideH w:val="single" w:color="auto" w:sz="4" w:space="0"/>
            <w:insideV w:val="single" w:color="auto" w:sz="4" w:space="0"/>
          </w:tblBorders>
          <w:tblCellMar>
            <w:top w:w="0" w:type="dxa"/>
            <w:left w:w="0" w:type="dxa"/>
            <w:bottom w:w="0" w:type="dxa"/>
            <w:right w:w="0" w:type="dxa"/>
          </w:tblCellMar>
        </w:tblPrEx>
        <w:trPr>
          <w:trHeight w:val="616" w:hRule="atLeast"/>
        </w:trPr>
        <w:tc>
          <w:tcPr>
            <w:tcW w:w="990" w:type="dxa"/>
            <w:vMerge w:val="continue"/>
            <w:shd w:val="clear" w:color="auto" w:fill="auto"/>
            <w:tcMar>
              <w:top w:w="10" w:type="dxa"/>
              <w:left w:w="10" w:type="dxa"/>
              <w:right w:w="10" w:type="dxa"/>
            </w:tcMar>
            <w:vAlign w:val="center"/>
          </w:tcPr>
          <w:p>
            <w:pPr>
              <w:pStyle w:val="2"/>
              <w:jc w:val="center"/>
              <w:rPr>
                <w:sz w:val="21"/>
                <w:szCs w:val="21"/>
              </w:rPr>
            </w:pPr>
          </w:p>
        </w:tc>
        <w:tc>
          <w:tcPr>
            <w:tcW w:w="1570" w:type="dxa"/>
            <w:vMerge w:val="continue"/>
            <w:shd w:val="clear" w:color="auto" w:fill="auto"/>
            <w:tcMar>
              <w:top w:w="10" w:type="dxa"/>
              <w:left w:w="10" w:type="dxa"/>
              <w:right w:w="10" w:type="dxa"/>
            </w:tcMar>
            <w:vAlign w:val="center"/>
          </w:tcPr>
          <w:p>
            <w:pPr>
              <w:pStyle w:val="2"/>
              <w:jc w:val="center"/>
              <w:rPr>
                <w:sz w:val="21"/>
                <w:szCs w:val="21"/>
              </w:rPr>
            </w:pPr>
          </w:p>
        </w:tc>
        <w:tc>
          <w:tcPr>
            <w:tcW w:w="3490" w:type="dxa"/>
            <w:vMerge w:val="continue"/>
            <w:shd w:val="clear" w:color="auto" w:fill="auto"/>
            <w:tcMar>
              <w:top w:w="10" w:type="dxa"/>
              <w:left w:w="10" w:type="dxa"/>
              <w:right w:w="10" w:type="dxa"/>
            </w:tcMar>
            <w:vAlign w:val="center"/>
          </w:tcPr>
          <w:p>
            <w:pPr>
              <w:pStyle w:val="2"/>
              <w:rPr>
                <w:sz w:val="21"/>
                <w:szCs w:val="21"/>
              </w:rPr>
            </w:pPr>
          </w:p>
        </w:tc>
        <w:tc>
          <w:tcPr>
            <w:tcW w:w="3270" w:type="dxa"/>
            <w:vMerge w:val="continue"/>
            <w:shd w:val="clear" w:color="auto" w:fill="auto"/>
            <w:tcMar>
              <w:top w:w="10" w:type="dxa"/>
              <w:left w:w="10" w:type="dxa"/>
              <w:right w:w="10" w:type="dxa"/>
            </w:tcMar>
            <w:vAlign w:val="center"/>
          </w:tcPr>
          <w:p>
            <w:pPr>
              <w:pStyle w:val="2"/>
              <w:rPr>
                <w:sz w:val="21"/>
                <w:szCs w:val="21"/>
              </w:rPr>
            </w:pPr>
          </w:p>
        </w:tc>
      </w:tr>
      <w:tr>
        <w:tblPrEx>
          <w:tblBorders>
            <w:top w:val="single" w:color="000000" w:sz="12" w:space="0"/>
            <w:left w:val="single" w:color="000000" w:sz="12" w:space="0"/>
            <w:bottom w:val="single" w:color="000000" w:sz="12" w:space="0"/>
            <w:right w:val="single" w:color="000000" w:sz="12" w:space="0"/>
            <w:insideH w:val="single" w:color="auto" w:sz="4" w:space="0"/>
            <w:insideV w:val="single" w:color="auto" w:sz="4" w:space="0"/>
          </w:tblBorders>
          <w:tblCellMar>
            <w:top w:w="0" w:type="dxa"/>
            <w:left w:w="0" w:type="dxa"/>
            <w:bottom w:w="0" w:type="dxa"/>
            <w:right w:w="0" w:type="dxa"/>
          </w:tblCellMar>
        </w:tblPrEx>
        <w:trPr>
          <w:trHeight w:val="974" w:hRule="atLeast"/>
        </w:trPr>
        <w:tc>
          <w:tcPr>
            <w:tcW w:w="990" w:type="dxa"/>
            <w:vMerge w:val="continue"/>
            <w:shd w:val="clear" w:color="auto" w:fill="auto"/>
            <w:tcMar>
              <w:top w:w="10" w:type="dxa"/>
              <w:left w:w="10" w:type="dxa"/>
              <w:right w:w="10" w:type="dxa"/>
            </w:tcMar>
            <w:vAlign w:val="center"/>
          </w:tcPr>
          <w:p>
            <w:pPr>
              <w:pStyle w:val="2"/>
              <w:jc w:val="center"/>
              <w:rPr>
                <w:sz w:val="21"/>
                <w:szCs w:val="21"/>
              </w:rPr>
            </w:pPr>
          </w:p>
        </w:tc>
        <w:tc>
          <w:tcPr>
            <w:tcW w:w="1570" w:type="dxa"/>
            <w:vMerge w:val="continue"/>
            <w:shd w:val="clear" w:color="auto" w:fill="auto"/>
            <w:tcMar>
              <w:top w:w="10" w:type="dxa"/>
              <w:left w:w="10" w:type="dxa"/>
              <w:right w:w="10" w:type="dxa"/>
            </w:tcMar>
            <w:vAlign w:val="center"/>
          </w:tcPr>
          <w:p>
            <w:pPr>
              <w:pStyle w:val="2"/>
              <w:jc w:val="center"/>
              <w:rPr>
                <w:sz w:val="21"/>
                <w:szCs w:val="21"/>
              </w:rPr>
            </w:pPr>
          </w:p>
        </w:tc>
        <w:tc>
          <w:tcPr>
            <w:tcW w:w="3490" w:type="dxa"/>
            <w:vMerge w:val="continue"/>
            <w:shd w:val="clear" w:color="auto" w:fill="auto"/>
            <w:tcMar>
              <w:top w:w="10" w:type="dxa"/>
              <w:left w:w="10" w:type="dxa"/>
              <w:right w:w="10" w:type="dxa"/>
            </w:tcMar>
            <w:vAlign w:val="center"/>
          </w:tcPr>
          <w:p>
            <w:pPr>
              <w:pStyle w:val="2"/>
              <w:rPr>
                <w:sz w:val="21"/>
                <w:szCs w:val="21"/>
              </w:rPr>
            </w:pPr>
          </w:p>
        </w:tc>
        <w:tc>
          <w:tcPr>
            <w:tcW w:w="3270" w:type="dxa"/>
            <w:vMerge w:val="continue"/>
            <w:shd w:val="clear" w:color="auto" w:fill="auto"/>
            <w:tcMar>
              <w:top w:w="10" w:type="dxa"/>
              <w:left w:w="10" w:type="dxa"/>
              <w:right w:w="10" w:type="dxa"/>
            </w:tcMar>
            <w:vAlign w:val="center"/>
          </w:tcPr>
          <w:p>
            <w:pPr>
              <w:pStyle w:val="2"/>
              <w:rPr>
                <w:sz w:val="21"/>
                <w:szCs w:val="21"/>
              </w:rPr>
            </w:pPr>
          </w:p>
        </w:tc>
      </w:tr>
      <w:tr>
        <w:tblPrEx>
          <w:tblBorders>
            <w:top w:val="single" w:color="000000" w:sz="12" w:space="0"/>
            <w:left w:val="single" w:color="000000" w:sz="12" w:space="0"/>
            <w:bottom w:val="single" w:color="000000" w:sz="12" w:space="0"/>
            <w:right w:val="single" w:color="000000" w:sz="12" w:space="0"/>
            <w:insideH w:val="single" w:color="auto" w:sz="4" w:space="0"/>
            <w:insideV w:val="single" w:color="auto" w:sz="4" w:space="0"/>
          </w:tblBorders>
          <w:tblCellMar>
            <w:top w:w="0" w:type="dxa"/>
            <w:left w:w="0" w:type="dxa"/>
            <w:bottom w:w="0" w:type="dxa"/>
            <w:right w:w="0" w:type="dxa"/>
          </w:tblCellMar>
        </w:tblPrEx>
        <w:trPr>
          <w:trHeight w:val="5376" w:hRule="atLeast"/>
        </w:trPr>
        <w:tc>
          <w:tcPr>
            <w:tcW w:w="990" w:type="dxa"/>
            <w:shd w:val="clear" w:color="auto" w:fill="auto"/>
            <w:tcMar>
              <w:top w:w="10" w:type="dxa"/>
              <w:left w:w="10" w:type="dxa"/>
              <w:right w:w="10" w:type="dxa"/>
            </w:tcMar>
            <w:vAlign w:val="center"/>
          </w:tcPr>
          <w:p>
            <w:pPr>
              <w:pStyle w:val="2"/>
              <w:jc w:val="center"/>
              <w:rPr>
                <w:sz w:val="21"/>
                <w:szCs w:val="21"/>
              </w:rPr>
            </w:pPr>
            <w:r>
              <w:rPr>
                <w:rFonts w:hint="eastAsia"/>
                <w:sz w:val="21"/>
                <w:szCs w:val="21"/>
              </w:rPr>
              <w:t>2</w:t>
            </w:r>
          </w:p>
        </w:tc>
        <w:tc>
          <w:tcPr>
            <w:tcW w:w="1570" w:type="dxa"/>
            <w:shd w:val="clear" w:color="auto" w:fill="auto"/>
            <w:tcMar>
              <w:top w:w="10" w:type="dxa"/>
              <w:left w:w="10" w:type="dxa"/>
              <w:right w:w="10" w:type="dxa"/>
            </w:tcMar>
            <w:vAlign w:val="center"/>
          </w:tcPr>
          <w:p>
            <w:pPr>
              <w:pStyle w:val="2"/>
              <w:jc w:val="center"/>
              <w:rPr>
                <w:sz w:val="21"/>
                <w:szCs w:val="21"/>
              </w:rPr>
            </w:pPr>
            <w:r>
              <w:rPr>
                <w:rFonts w:hint="eastAsia"/>
                <w:sz w:val="21"/>
                <w:szCs w:val="21"/>
              </w:rPr>
              <w:t>电路的分析方法和定理</w:t>
            </w:r>
          </w:p>
        </w:tc>
        <w:tc>
          <w:tcPr>
            <w:tcW w:w="3490" w:type="dxa"/>
            <w:shd w:val="clear" w:color="auto" w:fill="auto"/>
            <w:tcMar>
              <w:top w:w="10" w:type="dxa"/>
              <w:left w:w="10" w:type="dxa"/>
              <w:right w:w="10" w:type="dxa"/>
            </w:tcMar>
            <w:vAlign w:val="center"/>
          </w:tcPr>
          <w:p>
            <w:pPr>
              <w:pStyle w:val="2"/>
              <w:rPr>
                <w:sz w:val="21"/>
                <w:szCs w:val="21"/>
              </w:rPr>
            </w:pPr>
            <w:r>
              <w:rPr>
                <w:sz w:val="21"/>
                <w:szCs w:val="21"/>
              </w:rPr>
              <w:t>(</w:t>
            </w:r>
            <w:r>
              <w:rPr>
                <w:rFonts w:hint="eastAsia"/>
                <w:sz w:val="21"/>
                <w:szCs w:val="21"/>
              </w:rPr>
              <w:t>1</w:t>
            </w:r>
            <w:r>
              <w:rPr>
                <w:sz w:val="21"/>
                <w:szCs w:val="21"/>
              </w:rPr>
              <w:t>)</w:t>
            </w:r>
            <w:r>
              <w:rPr>
                <w:rFonts w:hint="eastAsia"/>
                <w:sz w:val="21"/>
                <w:szCs w:val="21"/>
              </w:rPr>
              <w:t>电路分析方法：支路电流法、节点电压法、网孔分析法等基本的电路分析方法</w:t>
            </w:r>
          </w:p>
          <w:p>
            <w:pPr>
              <w:pStyle w:val="2"/>
              <w:rPr>
                <w:sz w:val="21"/>
                <w:szCs w:val="21"/>
              </w:rPr>
            </w:pPr>
            <w:r>
              <w:rPr>
                <w:sz w:val="21"/>
                <w:szCs w:val="21"/>
              </w:rPr>
              <w:t>(</w:t>
            </w:r>
            <w:r>
              <w:rPr>
                <w:rFonts w:hint="eastAsia"/>
                <w:sz w:val="21"/>
                <w:szCs w:val="21"/>
              </w:rPr>
              <w:t>2</w:t>
            </w:r>
            <w:r>
              <w:rPr>
                <w:sz w:val="21"/>
                <w:szCs w:val="21"/>
              </w:rPr>
              <w:t>)</w:t>
            </w:r>
            <w:r>
              <w:rPr>
                <w:rFonts w:hint="eastAsia"/>
                <w:sz w:val="21"/>
                <w:szCs w:val="21"/>
              </w:rPr>
              <w:t>电路定理：基尔霍夫电流定律（</w:t>
            </w:r>
            <w:r>
              <w:rPr>
                <w:sz w:val="21"/>
                <w:szCs w:val="21"/>
              </w:rPr>
              <w:t>KCL）和基尔霍夫电压定律（KVL），其在电路分析中的应用</w:t>
            </w:r>
          </w:p>
          <w:p>
            <w:pPr>
              <w:pStyle w:val="2"/>
              <w:rPr>
                <w:sz w:val="21"/>
                <w:szCs w:val="21"/>
              </w:rPr>
            </w:pPr>
            <w:r>
              <w:rPr>
                <w:sz w:val="21"/>
                <w:szCs w:val="21"/>
              </w:rPr>
              <w:t>(</w:t>
            </w:r>
            <w:r>
              <w:rPr>
                <w:rFonts w:hint="eastAsia"/>
                <w:sz w:val="21"/>
                <w:szCs w:val="21"/>
              </w:rPr>
              <w:t>3</w:t>
            </w:r>
            <w:r>
              <w:rPr>
                <w:sz w:val="21"/>
                <w:szCs w:val="21"/>
              </w:rPr>
              <w:t>)</w:t>
            </w:r>
            <w:r>
              <w:rPr>
                <w:rFonts w:hint="eastAsia"/>
                <w:sz w:val="21"/>
                <w:szCs w:val="21"/>
              </w:rPr>
              <w:t>线性电路特性：线性电路的性质，如叠加性等，并能在电路分析中应用这些性质</w:t>
            </w:r>
          </w:p>
          <w:p>
            <w:pPr>
              <w:pStyle w:val="2"/>
              <w:rPr>
                <w:sz w:val="21"/>
                <w:szCs w:val="21"/>
              </w:rPr>
            </w:pPr>
            <w:r>
              <w:rPr>
                <w:sz w:val="21"/>
                <w:szCs w:val="21"/>
              </w:rPr>
              <w:t>(</w:t>
            </w:r>
            <w:r>
              <w:rPr>
                <w:rFonts w:hint="eastAsia"/>
                <w:sz w:val="21"/>
                <w:szCs w:val="21"/>
              </w:rPr>
              <w:t>4</w:t>
            </w:r>
            <w:r>
              <w:rPr>
                <w:sz w:val="21"/>
                <w:szCs w:val="21"/>
              </w:rPr>
              <w:t>)</w:t>
            </w:r>
            <w:r>
              <w:rPr>
                <w:rFonts w:hint="eastAsia"/>
                <w:sz w:val="21"/>
                <w:szCs w:val="21"/>
              </w:rPr>
              <w:t>电源与负载：区分电源与负载，电源在电路中的作用以及负载对电源的影响</w:t>
            </w:r>
          </w:p>
          <w:p>
            <w:pPr>
              <w:pStyle w:val="2"/>
              <w:rPr>
                <w:sz w:val="21"/>
                <w:szCs w:val="21"/>
              </w:rPr>
            </w:pPr>
            <w:r>
              <w:rPr>
                <w:sz w:val="21"/>
                <w:szCs w:val="21"/>
              </w:rPr>
              <w:t>(</w:t>
            </w:r>
            <w:r>
              <w:rPr>
                <w:rFonts w:hint="eastAsia"/>
                <w:sz w:val="21"/>
                <w:szCs w:val="21"/>
              </w:rPr>
              <w:t>5</w:t>
            </w:r>
            <w:r>
              <w:rPr>
                <w:sz w:val="21"/>
                <w:szCs w:val="21"/>
              </w:rPr>
              <w:t>)</w:t>
            </w:r>
            <w:r>
              <w:rPr>
                <w:rFonts w:hint="eastAsia"/>
                <w:sz w:val="21"/>
                <w:szCs w:val="21"/>
              </w:rPr>
              <w:t>电路中的耦合与解耦：电路中的耦合现象，如互感耦合，以及解耦的方法</w:t>
            </w:r>
          </w:p>
        </w:tc>
        <w:tc>
          <w:tcPr>
            <w:tcW w:w="3270" w:type="dxa"/>
            <w:shd w:val="clear" w:color="auto" w:fill="auto"/>
            <w:tcMar>
              <w:top w:w="10" w:type="dxa"/>
              <w:left w:w="10" w:type="dxa"/>
              <w:right w:w="10" w:type="dxa"/>
            </w:tcMar>
            <w:vAlign w:val="center"/>
          </w:tcPr>
          <w:p>
            <w:pPr>
              <w:pStyle w:val="2"/>
              <w:rPr>
                <w:sz w:val="21"/>
                <w:szCs w:val="21"/>
              </w:rPr>
            </w:pPr>
            <w:r>
              <w:rPr>
                <w:sz w:val="21"/>
                <w:szCs w:val="21"/>
              </w:rPr>
              <w:t>(</w:t>
            </w:r>
            <w:r>
              <w:rPr>
                <w:rFonts w:hint="eastAsia"/>
                <w:sz w:val="21"/>
                <w:szCs w:val="21"/>
              </w:rPr>
              <w:t>1</w:t>
            </w:r>
            <w:r>
              <w:rPr>
                <w:sz w:val="21"/>
                <w:szCs w:val="21"/>
              </w:rPr>
              <w:t>)</w:t>
            </w:r>
            <w:r>
              <w:rPr>
                <w:rFonts w:hint="eastAsia"/>
                <w:sz w:val="21"/>
                <w:szCs w:val="21"/>
              </w:rPr>
              <w:t>电路图分析：使用基尔霍夫定律和电路定理进行电路分析，求解电路中的未知量</w:t>
            </w:r>
          </w:p>
          <w:p>
            <w:pPr>
              <w:pStyle w:val="2"/>
              <w:rPr>
                <w:sz w:val="21"/>
                <w:szCs w:val="21"/>
              </w:rPr>
            </w:pPr>
            <w:r>
              <w:rPr>
                <w:sz w:val="21"/>
                <w:szCs w:val="21"/>
              </w:rPr>
              <w:t>(</w:t>
            </w:r>
            <w:r>
              <w:rPr>
                <w:rFonts w:hint="eastAsia"/>
                <w:sz w:val="21"/>
                <w:szCs w:val="21"/>
              </w:rPr>
              <w:t>2</w:t>
            </w:r>
            <w:r>
              <w:rPr>
                <w:sz w:val="21"/>
                <w:szCs w:val="21"/>
              </w:rPr>
              <w:t>)</w:t>
            </w:r>
            <w:r>
              <w:rPr>
                <w:rFonts w:hint="eastAsia"/>
                <w:sz w:val="21"/>
                <w:szCs w:val="21"/>
              </w:rPr>
              <w:t>等效电路变换：将复杂的电路通过等效变换简化为简单的电路进行分析；电源模型的等效变换，如电压源与电流源的等效替换</w:t>
            </w:r>
          </w:p>
          <w:p>
            <w:pPr>
              <w:pStyle w:val="2"/>
              <w:rPr>
                <w:sz w:val="21"/>
                <w:szCs w:val="21"/>
              </w:rPr>
            </w:pPr>
            <w:r>
              <w:rPr>
                <w:sz w:val="21"/>
                <w:szCs w:val="21"/>
              </w:rPr>
              <w:t>(</w:t>
            </w:r>
            <w:r>
              <w:rPr>
                <w:rFonts w:hint="eastAsia"/>
                <w:sz w:val="21"/>
                <w:szCs w:val="21"/>
              </w:rPr>
              <w:t>3</w:t>
            </w:r>
            <w:r>
              <w:rPr>
                <w:sz w:val="21"/>
                <w:szCs w:val="21"/>
              </w:rPr>
              <w:t>)</w:t>
            </w:r>
            <w:r>
              <w:rPr>
                <w:rFonts w:hint="eastAsia"/>
                <w:sz w:val="21"/>
                <w:szCs w:val="21"/>
              </w:rPr>
              <w:t>实验技能：使用实验设备（如万用表、示波器等）对电路进行测量和分析</w:t>
            </w:r>
          </w:p>
          <w:p>
            <w:pPr>
              <w:pStyle w:val="2"/>
              <w:rPr>
                <w:sz w:val="21"/>
                <w:szCs w:val="21"/>
              </w:rPr>
            </w:pPr>
            <w:r>
              <w:rPr>
                <w:sz w:val="21"/>
                <w:szCs w:val="21"/>
              </w:rPr>
              <w:t>(4)</w:t>
            </w:r>
            <w:r>
              <w:rPr>
                <w:rFonts w:hint="eastAsia"/>
                <w:sz w:val="21"/>
                <w:szCs w:val="21"/>
              </w:rPr>
              <w:t>故障排查：根据电路图和实验结果，分析电路故障的原因和位置</w:t>
            </w:r>
          </w:p>
          <w:p>
            <w:pPr>
              <w:pStyle w:val="2"/>
              <w:rPr>
                <w:sz w:val="21"/>
                <w:szCs w:val="21"/>
              </w:rPr>
            </w:pPr>
            <w:r>
              <w:rPr>
                <w:sz w:val="21"/>
                <w:szCs w:val="21"/>
              </w:rPr>
              <w:t>(</w:t>
            </w:r>
            <w:r>
              <w:rPr>
                <w:rFonts w:hint="eastAsia"/>
                <w:sz w:val="21"/>
                <w:szCs w:val="21"/>
              </w:rPr>
              <w:t>5</w:t>
            </w:r>
            <w:r>
              <w:rPr>
                <w:sz w:val="21"/>
                <w:szCs w:val="21"/>
              </w:rPr>
              <w:t>)</w:t>
            </w:r>
            <w:r>
              <w:rPr>
                <w:rFonts w:hint="eastAsia"/>
                <w:sz w:val="21"/>
                <w:szCs w:val="21"/>
              </w:rPr>
              <w:t>应用实践：将所学的电路分析方法和定理应用到实际工程中，如建筑消防系统的电气设计、安装和调试等</w:t>
            </w:r>
          </w:p>
        </w:tc>
      </w:tr>
      <w:tr>
        <w:tblPrEx>
          <w:tblBorders>
            <w:top w:val="single" w:color="000000" w:sz="12" w:space="0"/>
            <w:left w:val="single" w:color="000000" w:sz="12" w:space="0"/>
            <w:bottom w:val="single" w:color="000000" w:sz="12" w:space="0"/>
            <w:right w:val="single" w:color="000000" w:sz="12" w:space="0"/>
            <w:insideH w:val="single" w:color="auto" w:sz="4" w:space="0"/>
            <w:insideV w:val="single" w:color="auto" w:sz="4" w:space="0"/>
          </w:tblBorders>
          <w:tblCellMar>
            <w:top w:w="0" w:type="dxa"/>
            <w:left w:w="0" w:type="dxa"/>
            <w:bottom w:w="0" w:type="dxa"/>
            <w:right w:w="0" w:type="dxa"/>
          </w:tblCellMar>
        </w:tblPrEx>
        <w:trPr>
          <w:trHeight w:val="2589" w:hRule="atLeast"/>
        </w:trPr>
        <w:tc>
          <w:tcPr>
            <w:tcW w:w="990" w:type="dxa"/>
            <w:vMerge w:val="restart"/>
            <w:shd w:val="clear" w:color="auto" w:fill="auto"/>
            <w:tcMar>
              <w:top w:w="10" w:type="dxa"/>
              <w:left w:w="10" w:type="dxa"/>
              <w:right w:w="10" w:type="dxa"/>
            </w:tcMar>
            <w:vAlign w:val="center"/>
          </w:tcPr>
          <w:p>
            <w:pPr>
              <w:pStyle w:val="2"/>
              <w:jc w:val="center"/>
              <w:rPr>
                <w:sz w:val="21"/>
                <w:szCs w:val="21"/>
              </w:rPr>
            </w:pPr>
            <w:r>
              <w:rPr>
                <w:rFonts w:hint="eastAsia"/>
                <w:sz w:val="21"/>
                <w:szCs w:val="21"/>
              </w:rPr>
              <w:t>3</w:t>
            </w:r>
          </w:p>
        </w:tc>
        <w:tc>
          <w:tcPr>
            <w:tcW w:w="1570" w:type="dxa"/>
            <w:vMerge w:val="restart"/>
            <w:shd w:val="clear" w:color="auto" w:fill="auto"/>
            <w:tcMar>
              <w:top w:w="10" w:type="dxa"/>
              <w:left w:w="10" w:type="dxa"/>
              <w:right w:w="10" w:type="dxa"/>
            </w:tcMar>
            <w:vAlign w:val="center"/>
          </w:tcPr>
          <w:p>
            <w:pPr>
              <w:pStyle w:val="2"/>
              <w:jc w:val="center"/>
              <w:rPr>
                <w:sz w:val="21"/>
                <w:szCs w:val="21"/>
              </w:rPr>
            </w:pPr>
            <w:r>
              <w:rPr>
                <w:rFonts w:hint="eastAsia"/>
                <w:sz w:val="21"/>
                <w:szCs w:val="21"/>
              </w:rPr>
              <w:t>一阶暂态电路</w:t>
            </w:r>
          </w:p>
        </w:tc>
        <w:tc>
          <w:tcPr>
            <w:tcW w:w="3490" w:type="dxa"/>
            <w:vMerge w:val="restart"/>
            <w:shd w:val="clear" w:color="auto" w:fill="auto"/>
            <w:tcMar>
              <w:top w:w="10" w:type="dxa"/>
              <w:left w:w="10" w:type="dxa"/>
              <w:right w:w="10" w:type="dxa"/>
            </w:tcMar>
            <w:vAlign w:val="center"/>
          </w:tcPr>
          <w:p>
            <w:pPr>
              <w:pStyle w:val="2"/>
              <w:rPr>
                <w:sz w:val="21"/>
                <w:szCs w:val="21"/>
              </w:rPr>
            </w:pPr>
            <w:r>
              <w:rPr>
                <w:sz w:val="21"/>
                <w:szCs w:val="21"/>
              </w:rPr>
              <w:t>(1)</w:t>
            </w:r>
            <w:r>
              <w:rPr>
                <w:rFonts w:hint="eastAsia"/>
                <w:sz w:val="21"/>
                <w:szCs w:val="21"/>
              </w:rPr>
              <w:t>集成运算放大器的基本概念：集成运算放大器是由多级直接耦合放大电路组成的高增益模拟集成电路</w:t>
            </w:r>
          </w:p>
          <w:p>
            <w:pPr>
              <w:pStyle w:val="2"/>
              <w:rPr>
                <w:sz w:val="21"/>
                <w:szCs w:val="21"/>
              </w:rPr>
            </w:pPr>
            <w:r>
              <w:rPr>
                <w:sz w:val="21"/>
                <w:szCs w:val="21"/>
              </w:rPr>
              <w:t>(</w:t>
            </w:r>
            <w:r>
              <w:rPr>
                <w:rFonts w:hint="eastAsia"/>
                <w:sz w:val="21"/>
                <w:szCs w:val="21"/>
              </w:rPr>
              <w:t>2</w:t>
            </w:r>
            <w:r>
              <w:rPr>
                <w:sz w:val="21"/>
                <w:szCs w:val="21"/>
              </w:rPr>
              <w:t>)</w:t>
            </w:r>
            <w:r>
              <w:rPr>
                <w:rFonts w:hint="eastAsia"/>
                <w:sz w:val="21"/>
                <w:szCs w:val="21"/>
              </w:rPr>
              <w:t>集成运算放大器的组成：集成运放通常由输入级、中间级（电压放大级）、输出级和偏置电路四部分组成</w:t>
            </w:r>
          </w:p>
          <w:p>
            <w:pPr>
              <w:pStyle w:val="2"/>
              <w:rPr>
                <w:sz w:val="21"/>
                <w:szCs w:val="21"/>
              </w:rPr>
            </w:pPr>
            <w:r>
              <w:rPr>
                <w:sz w:val="21"/>
                <w:szCs w:val="21"/>
              </w:rPr>
              <w:t>(</w:t>
            </w:r>
            <w:r>
              <w:rPr>
                <w:rFonts w:hint="eastAsia"/>
                <w:sz w:val="21"/>
                <w:szCs w:val="21"/>
              </w:rPr>
              <w:t>3</w:t>
            </w:r>
            <w:r>
              <w:rPr>
                <w:sz w:val="21"/>
                <w:szCs w:val="21"/>
              </w:rPr>
              <w:t>)</w:t>
            </w:r>
            <w:r>
              <w:rPr>
                <w:rFonts w:hint="eastAsia"/>
                <w:sz w:val="21"/>
                <w:szCs w:val="21"/>
              </w:rPr>
              <w:t>集成运算放大器的工作原理：集成运放的基本原理是利用外加电压来控制电流，实现放大和运算的功能</w:t>
            </w:r>
          </w:p>
          <w:p>
            <w:pPr>
              <w:pStyle w:val="2"/>
              <w:rPr>
                <w:sz w:val="21"/>
                <w:szCs w:val="21"/>
              </w:rPr>
            </w:pPr>
            <w:r>
              <w:rPr>
                <w:sz w:val="21"/>
                <w:szCs w:val="21"/>
              </w:rPr>
              <w:t>(</w:t>
            </w:r>
            <w:r>
              <w:rPr>
                <w:rFonts w:hint="eastAsia"/>
                <w:sz w:val="21"/>
                <w:szCs w:val="21"/>
              </w:rPr>
              <w:t>4</w:t>
            </w:r>
            <w:r>
              <w:rPr>
                <w:sz w:val="21"/>
                <w:szCs w:val="21"/>
              </w:rPr>
              <w:t>)</w:t>
            </w:r>
            <w:r>
              <w:rPr>
                <w:rFonts w:hint="eastAsia"/>
                <w:sz w:val="21"/>
                <w:szCs w:val="21"/>
              </w:rPr>
              <w:t>集成运算放大器的分类：按照功能和应用场景的不同，可以分为通用型、高精度型、高输入阻抗型、低功耗型等</w:t>
            </w:r>
          </w:p>
          <w:p>
            <w:pPr>
              <w:pStyle w:val="2"/>
              <w:rPr>
                <w:sz w:val="21"/>
                <w:szCs w:val="21"/>
              </w:rPr>
            </w:pPr>
            <w:r>
              <w:rPr>
                <w:sz w:val="21"/>
                <w:szCs w:val="21"/>
              </w:rPr>
              <w:t>(</w:t>
            </w:r>
            <w:r>
              <w:rPr>
                <w:rFonts w:hint="eastAsia"/>
                <w:sz w:val="21"/>
                <w:szCs w:val="21"/>
              </w:rPr>
              <w:t>5</w:t>
            </w:r>
            <w:r>
              <w:rPr>
                <w:sz w:val="21"/>
                <w:szCs w:val="21"/>
              </w:rPr>
              <w:t>)</w:t>
            </w:r>
            <w:r>
              <w:rPr>
                <w:rFonts w:hint="eastAsia"/>
                <w:sz w:val="21"/>
                <w:szCs w:val="21"/>
              </w:rPr>
              <w:t>集成运算放大器的主要技术指标：</w:t>
            </w:r>
          </w:p>
          <w:p>
            <w:pPr>
              <w:pStyle w:val="2"/>
              <w:rPr>
                <w:sz w:val="21"/>
                <w:szCs w:val="21"/>
              </w:rPr>
            </w:pPr>
            <w:r>
              <w:rPr>
                <w:rFonts w:hint="eastAsia"/>
                <w:sz w:val="21"/>
                <w:szCs w:val="21"/>
              </w:rPr>
              <w:t>表征集成运算放大器性能的参数，如、输入失调电压、单位增益带宽</w:t>
            </w:r>
          </w:p>
        </w:tc>
        <w:tc>
          <w:tcPr>
            <w:tcW w:w="3270" w:type="dxa"/>
            <w:vMerge w:val="restart"/>
            <w:shd w:val="clear" w:color="auto" w:fill="auto"/>
            <w:tcMar>
              <w:top w:w="10" w:type="dxa"/>
              <w:left w:w="10" w:type="dxa"/>
              <w:right w:w="10" w:type="dxa"/>
            </w:tcMar>
            <w:vAlign w:val="center"/>
          </w:tcPr>
          <w:p>
            <w:pPr>
              <w:pStyle w:val="2"/>
              <w:rPr>
                <w:sz w:val="21"/>
                <w:szCs w:val="21"/>
              </w:rPr>
            </w:pPr>
            <w:r>
              <w:rPr>
                <w:rFonts w:hint="eastAsia"/>
                <w:sz w:val="21"/>
                <w:szCs w:val="21"/>
              </w:rPr>
              <w:t>(1)阶暂态电路的基本概念：一阶暂态电路的定义，即只含有一个储能元件（电感或电容）或可等效为一个储能元件的线性电路</w:t>
            </w:r>
          </w:p>
          <w:p>
            <w:pPr>
              <w:pStyle w:val="2"/>
              <w:rPr>
                <w:sz w:val="21"/>
                <w:szCs w:val="21"/>
              </w:rPr>
            </w:pPr>
            <w:r>
              <w:rPr>
                <w:sz w:val="21"/>
                <w:szCs w:val="21"/>
              </w:rPr>
              <w:t>(</w:t>
            </w:r>
            <w:r>
              <w:rPr>
                <w:rFonts w:hint="eastAsia"/>
                <w:sz w:val="21"/>
                <w:szCs w:val="21"/>
              </w:rPr>
              <w:t>2</w:t>
            </w:r>
            <w:r>
              <w:rPr>
                <w:sz w:val="21"/>
                <w:szCs w:val="21"/>
              </w:rPr>
              <w:t>)</w:t>
            </w:r>
            <w:r>
              <w:rPr>
                <w:rFonts w:hint="eastAsia"/>
                <w:sz w:val="21"/>
                <w:szCs w:val="21"/>
              </w:rPr>
              <w:t>换路定律与暂态过程：换路定律，电路发生换路（如接通、断开或参数变化）时，储能元件的能量不能跃变</w:t>
            </w:r>
          </w:p>
          <w:p>
            <w:pPr>
              <w:pStyle w:val="2"/>
              <w:rPr>
                <w:sz w:val="21"/>
                <w:szCs w:val="21"/>
              </w:rPr>
            </w:pPr>
            <w:r>
              <w:rPr>
                <w:sz w:val="21"/>
                <w:szCs w:val="21"/>
              </w:rPr>
              <w:t>(</w:t>
            </w:r>
            <w:r>
              <w:rPr>
                <w:rFonts w:hint="eastAsia"/>
                <w:sz w:val="21"/>
                <w:szCs w:val="21"/>
              </w:rPr>
              <w:t>3</w:t>
            </w:r>
            <w:r>
              <w:rPr>
                <w:sz w:val="21"/>
                <w:szCs w:val="21"/>
              </w:rPr>
              <w:t>)</w:t>
            </w:r>
            <w:r>
              <w:rPr>
                <w:rFonts w:hint="eastAsia"/>
                <w:sz w:val="21"/>
                <w:szCs w:val="21"/>
              </w:rPr>
              <w:t>一阶暂态电路的响应：明白零输入响应是仅由初始值引起的响应，零状态响应是仅由外加激励引起的响应，全响应则是两者共同作用的结果</w:t>
            </w:r>
          </w:p>
          <w:p>
            <w:pPr>
              <w:pStyle w:val="2"/>
              <w:rPr>
                <w:sz w:val="21"/>
                <w:szCs w:val="21"/>
              </w:rPr>
            </w:pPr>
            <w:r>
              <w:rPr>
                <w:sz w:val="21"/>
                <w:szCs w:val="21"/>
              </w:rPr>
              <w:t>(</w:t>
            </w:r>
            <w:r>
              <w:rPr>
                <w:rFonts w:hint="eastAsia"/>
                <w:sz w:val="21"/>
                <w:szCs w:val="21"/>
              </w:rPr>
              <w:t>4</w:t>
            </w:r>
            <w:r>
              <w:rPr>
                <w:sz w:val="21"/>
                <w:szCs w:val="21"/>
              </w:rPr>
              <w:t>)</w:t>
            </w:r>
            <w:r>
              <w:rPr>
                <w:rFonts w:hint="eastAsia"/>
                <w:sz w:val="21"/>
                <w:szCs w:val="21"/>
              </w:rPr>
              <w:t>一阶</w:t>
            </w:r>
            <w:r>
              <w:rPr>
                <w:sz w:val="21"/>
                <w:szCs w:val="21"/>
              </w:rPr>
              <w:t>RC和RL电路：</w:t>
            </w:r>
            <w:r>
              <w:rPr>
                <w:rFonts w:hint="eastAsia"/>
                <w:sz w:val="21"/>
                <w:szCs w:val="21"/>
              </w:rPr>
              <w:t>一阶</w:t>
            </w:r>
            <w:r>
              <w:rPr>
                <w:sz w:val="21"/>
                <w:szCs w:val="21"/>
              </w:rPr>
              <w:t>RC电路和RL电路的响应分析方法，时间常数的意义和作用</w:t>
            </w:r>
          </w:p>
        </w:tc>
      </w:tr>
      <w:tr>
        <w:tblPrEx>
          <w:tblBorders>
            <w:top w:val="single" w:color="000000" w:sz="12" w:space="0"/>
            <w:left w:val="single" w:color="000000" w:sz="12" w:space="0"/>
            <w:bottom w:val="single" w:color="000000" w:sz="12" w:space="0"/>
            <w:right w:val="single" w:color="000000" w:sz="12" w:space="0"/>
            <w:insideH w:val="single" w:color="auto" w:sz="4" w:space="0"/>
            <w:insideV w:val="single" w:color="auto" w:sz="4" w:space="0"/>
          </w:tblBorders>
          <w:tblCellMar>
            <w:top w:w="0" w:type="dxa"/>
            <w:left w:w="0" w:type="dxa"/>
            <w:bottom w:w="0" w:type="dxa"/>
            <w:right w:w="0" w:type="dxa"/>
          </w:tblCellMar>
        </w:tblPrEx>
        <w:trPr>
          <w:trHeight w:val="616" w:hRule="atLeast"/>
        </w:trPr>
        <w:tc>
          <w:tcPr>
            <w:tcW w:w="990" w:type="dxa"/>
            <w:vMerge w:val="continue"/>
            <w:shd w:val="clear" w:color="auto" w:fill="auto"/>
            <w:tcMar>
              <w:top w:w="10" w:type="dxa"/>
              <w:left w:w="10" w:type="dxa"/>
              <w:right w:w="10" w:type="dxa"/>
            </w:tcMar>
            <w:vAlign w:val="center"/>
          </w:tcPr>
          <w:p>
            <w:pPr>
              <w:pStyle w:val="2"/>
              <w:jc w:val="center"/>
              <w:rPr>
                <w:sz w:val="21"/>
                <w:szCs w:val="21"/>
              </w:rPr>
            </w:pPr>
          </w:p>
        </w:tc>
        <w:tc>
          <w:tcPr>
            <w:tcW w:w="1570" w:type="dxa"/>
            <w:vMerge w:val="continue"/>
            <w:shd w:val="clear" w:color="auto" w:fill="auto"/>
            <w:tcMar>
              <w:top w:w="10" w:type="dxa"/>
              <w:left w:w="10" w:type="dxa"/>
              <w:right w:w="10" w:type="dxa"/>
            </w:tcMar>
            <w:vAlign w:val="center"/>
          </w:tcPr>
          <w:p>
            <w:pPr>
              <w:pStyle w:val="2"/>
              <w:jc w:val="center"/>
              <w:rPr>
                <w:sz w:val="21"/>
                <w:szCs w:val="21"/>
              </w:rPr>
            </w:pPr>
          </w:p>
        </w:tc>
        <w:tc>
          <w:tcPr>
            <w:tcW w:w="3490" w:type="dxa"/>
            <w:vMerge w:val="continue"/>
            <w:shd w:val="clear" w:color="auto" w:fill="auto"/>
            <w:tcMar>
              <w:top w:w="10" w:type="dxa"/>
              <w:left w:w="10" w:type="dxa"/>
              <w:right w:w="10" w:type="dxa"/>
            </w:tcMar>
            <w:vAlign w:val="center"/>
          </w:tcPr>
          <w:p>
            <w:pPr>
              <w:pStyle w:val="2"/>
              <w:rPr>
                <w:sz w:val="21"/>
                <w:szCs w:val="21"/>
              </w:rPr>
            </w:pPr>
          </w:p>
        </w:tc>
        <w:tc>
          <w:tcPr>
            <w:tcW w:w="3270" w:type="dxa"/>
            <w:vMerge w:val="continue"/>
            <w:shd w:val="clear" w:color="auto" w:fill="auto"/>
            <w:tcMar>
              <w:top w:w="10" w:type="dxa"/>
              <w:left w:w="10" w:type="dxa"/>
              <w:right w:w="10" w:type="dxa"/>
            </w:tcMar>
            <w:vAlign w:val="center"/>
          </w:tcPr>
          <w:p>
            <w:pPr>
              <w:pStyle w:val="2"/>
              <w:rPr>
                <w:sz w:val="21"/>
                <w:szCs w:val="21"/>
              </w:rPr>
            </w:pPr>
          </w:p>
        </w:tc>
      </w:tr>
      <w:tr>
        <w:tblPrEx>
          <w:tblBorders>
            <w:top w:val="single" w:color="000000" w:sz="12" w:space="0"/>
            <w:left w:val="single" w:color="000000" w:sz="12" w:space="0"/>
            <w:bottom w:val="single" w:color="000000" w:sz="12" w:space="0"/>
            <w:right w:val="single" w:color="000000" w:sz="12" w:space="0"/>
            <w:insideH w:val="single" w:color="auto" w:sz="4" w:space="0"/>
            <w:insideV w:val="single" w:color="auto" w:sz="4" w:space="0"/>
          </w:tblBorders>
          <w:tblCellMar>
            <w:top w:w="0" w:type="dxa"/>
            <w:left w:w="0" w:type="dxa"/>
            <w:bottom w:w="0" w:type="dxa"/>
            <w:right w:w="0" w:type="dxa"/>
          </w:tblCellMar>
        </w:tblPrEx>
        <w:trPr>
          <w:trHeight w:val="616" w:hRule="atLeast"/>
        </w:trPr>
        <w:tc>
          <w:tcPr>
            <w:tcW w:w="990" w:type="dxa"/>
            <w:vMerge w:val="continue"/>
            <w:shd w:val="clear" w:color="auto" w:fill="auto"/>
            <w:tcMar>
              <w:top w:w="10" w:type="dxa"/>
              <w:left w:w="10" w:type="dxa"/>
              <w:right w:w="10" w:type="dxa"/>
            </w:tcMar>
            <w:vAlign w:val="center"/>
          </w:tcPr>
          <w:p>
            <w:pPr>
              <w:pStyle w:val="2"/>
              <w:jc w:val="center"/>
              <w:rPr>
                <w:sz w:val="21"/>
                <w:szCs w:val="21"/>
              </w:rPr>
            </w:pPr>
          </w:p>
        </w:tc>
        <w:tc>
          <w:tcPr>
            <w:tcW w:w="1570" w:type="dxa"/>
            <w:vMerge w:val="continue"/>
            <w:shd w:val="clear" w:color="auto" w:fill="auto"/>
            <w:tcMar>
              <w:top w:w="10" w:type="dxa"/>
              <w:left w:w="10" w:type="dxa"/>
              <w:right w:w="10" w:type="dxa"/>
            </w:tcMar>
            <w:vAlign w:val="center"/>
          </w:tcPr>
          <w:p>
            <w:pPr>
              <w:pStyle w:val="2"/>
              <w:jc w:val="center"/>
              <w:rPr>
                <w:sz w:val="21"/>
                <w:szCs w:val="21"/>
              </w:rPr>
            </w:pPr>
          </w:p>
        </w:tc>
        <w:tc>
          <w:tcPr>
            <w:tcW w:w="3490" w:type="dxa"/>
            <w:vMerge w:val="continue"/>
            <w:shd w:val="clear" w:color="auto" w:fill="auto"/>
            <w:tcMar>
              <w:top w:w="10" w:type="dxa"/>
              <w:left w:w="10" w:type="dxa"/>
              <w:right w:w="10" w:type="dxa"/>
            </w:tcMar>
            <w:vAlign w:val="center"/>
          </w:tcPr>
          <w:p>
            <w:pPr>
              <w:pStyle w:val="2"/>
              <w:rPr>
                <w:sz w:val="21"/>
                <w:szCs w:val="21"/>
              </w:rPr>
            </w:pPr>
          </w:p>
        </w:tc>
        <w:tc>
          <w:tcPr>
            <w:tcW w:w="3270" w:type="dxa"/>
            <w:vMerge w:val="continue"/>
            <w:shd w:val="clear" w:color="auto" w:fill="auto"/>
            <w:tcMar>
              <w:top w:w="10" w:type="dxa"/>
              <w:left w:w="10" w:type="dxa"/>
              <w:right w:w="10" w:type="dxa"/>
            </w:tcMar>
            <w:vAlign w:val="center"/>
          </w:tcPr>
          <w:p>
            <w:pPr>
              <w:pStyle w:val="2"/>
              <w:rPr>
                <w:sz w:val="21"/>
                <w:szCs w:val="21"/>
              </w:rPr>
            </w:pPr>
          </w:p>
        </w:tc>
      </w:tr>
      <w:tr>
        <w:tblPrEx>
          <w:tblBorders>
            <w:top w:val="single" w:color="000000" w:sz="12" w:space="0"/>
            <w:left w:val="single" w:color="000000" w:sz="12" w:space="0"/>
            <w:bottom w:val="single" w:color="000000" w:sz="12" w:space="0"/>
            <w:right w:val="single" w:color="000000" w:sz="12" w:space="0"/>
            <w:insideH w:val="single" w:color="auto" w:sz="4" w:space="0"/>
            <w:insideV w:val="single" w:color="auto" w:sz="4" w:space="0"/>
          </w:tblBorders>
          <w:tblCellMar>
            <w:top w:w="0" w:type="dxa"/>
            <w:left w:w="0" w:type="dxa"/>
            <w:bottom w:w="0" w:type="dxa"/>
            <w:right w:w="0" w:type="dxa"/>
          </w:tblCellMar>
        </w:tblPrEx>
        <w:trPr>
          <w:trHeight w:val="966" w:hRule="atLeast"/>
        </w:trPr>
        <w:tc>
          <w:tcPr>
            <w:tcW w:w="990" w:type="dxa"/>
            <w:vMerge w:val="continue"/>
            <w:shd w:val="clear" w:color="auto" w:fill="auto"/>
            <w:tcMar>
              <w:top w:w="10" w:type="dxa"/>
              <w:left w:w="10" w:type="dxa"/>
              <w:right w:w="10" w:type="dxa"/>
            </w:tcMar>
            <w:vAlign w:val="center"/>
          </w:tcPr>
          <w:p>
            <w:pPr>
              <w:pStyle w:val="2"/>
              <w:jc w:val="center"/>
              <w:rPr>
                <w:sz w:val="21"/>
                <w:szCs w:val="21"/>
              </w:rPr>
            </w:pPr>
          </w:p>
        </w:tc>
        <w:tc>
          <w:tcPr>
            <w:tcW w:w="1570" w:type="dxa"/>
            <w:vMerge w:val="continue"/>
            <w:shd w:val="clear" w:color="auto" w:fill="auto"/>
            <w:tcMar>
              <w:top w:w="10" w:type="dxa"/>
              <w:left w:w="10" w:type="dxa"/>
              <w:right w:w="10" w:type="dxa"/>
            </w:tcMar>
            <w:vAlign w:val="center"/>
          </w:tcPr>
          <w:p>
            <w:pPr>
              <w:pStyle w:val="2"/>
              <w:jc w:val="center"/>
              <w:rPr>
                <w:sz w:val="21"/>
                <w:szCs w:val="21"/>
              </w:rPr>
            </w:pPr>
          </w:p>
        </w:tc>
        <w:tc>
          <w:tcPr>
            <w:tcW w:w="3490" w:type="dxa"/>
            <w:vMerge w:val="continue"/>
            <w:shd w:val="clear" w:color="auto" w:fill="auto"/>
            <w:tcMar>
              <w:top w:w="10" w:type="dxa"/>
              <w:left w:w="10" w:type="dxa"/>
              <w:right w:w="10" w:type="dxa"/>
            </w:tcMar>
            <w:vAlign w:val="center"/>
          </w:tcPr>
          <w:p>
            <w:pPr>
              <w:pStyle w:val="2"/>
              <w:rPr>
                <w:sz w:val="21"/>
                <w:szCs w:val="21"/>
              </w:rPr>
            </w:pPr>
          </w:p>
        </w:tc>
        <w:tc>
          <w:tcPr>
            <w:tcW w:w="3270" w:type="dxa"/>
            <w:vMerge w:val="continue"/>
            <w:shd w:val="clear" w:color="auto" w:fill="auto"/>
            <w:tcMar>
              <w:top w:w="10" w:type="dxa"/>
              <w:left w:w="10" w:type="dxa"/>
              <w:right w:w="10" w:type="dxa"/>
            </w:tcMar>
            <w:vAlign w:val="center"/>
          </w:tcPr>
          <w:p>
            <w:pPr>
              <w:pStyle w:val="2"/>
              <w:rPr>
                <w:sz w:val="21"/>
                <w:szCs w:val="21"/>
              </w:rPr>
            </w:pPr>
          </w:p>
        </w:tc>
      </w:tr>
      <w:tr>
        <w:tblPrEx>
          <w:tblBorders>
            <w:top w:val="single" w:color="000000" w:sz="12" w:space="0"/>
            <w:left w:val="single" w:color="000000" w:sz="12" w:space="0"/>
            <w:bottom w:val="single" w:color="000000" w:sz="12" w:space="0"/>
            <w:right w:val="single" w:color="000000" w:sz="12" w:space="0"/>
            <w:insideH w:val="single" w:color="auto" w:sz="4" w:space="0"/>
            <w:insideV w:val="single" w:color="auto" w:sz="4" w:space="0"/>
          </w:tblBorders>
          <w:tblCellMar>
            <w:top w:w="0" w:type="dxa"/>
            <w:left w:w="0" w:type="dxa"/>
            <w:bottom w:w="0" w:type="dxa"/>
            <w:right w:w="0" w:type="dxa"/>
          </w:tblCellMar>
        </w:tblPrEx>
        <w:trPr>
          <w:trHeight w:val="616" w:hRule="atLeast"/>
        </w:trPr>
        <w:tc>
          <w:tcPr>
            <w:tcW w:w="990" w:type="dxa"/>
            <w:vMerge w:val="restart"/>
            <w:shd w:val="clear" w:color="auto" w:fill="auto"/>
            <w:tcMar>
              <w:top w:w="10" w:type="dxa"/>
              <w:left w:w="10" w:type="dxa"/>
              <w:right w:w="10" w:type="dxa"/>
            </w:tcMar>
            <w:vAlign w:val="center"/>
          </w:tcPr>
          <w:p>
            <w:pPr>
              <w:pStyle w:val="2"/>
              <w:jc w:val="center"/>
              <w:rPr>
                <w:sz w:val="21"/>
                <w:szCs w:val="21"/>
              </w:rPr>
            </w:pPr>
            <w:r>
              <w:rPr>
                <w:rFonts w:hint="eastAsia"/>
                <w:sz w:val="21"/>
                <w:szCs w:val="21"/>
              </w:rPr>
              <w:t>4</w:t>
            </w:r>
          </w:p>
        </w:tc>
        <w:tc>
          <w:tcPr>
            <w:tcW w:w="1570" w:type="dxa"/>
            <w:vMerge w:val="restart"/>
            <w:shd w:val="clear" w:color="auto" w:fill="auto"/>
            <w:tcMar>
              <w:top w:w="10" w:type="dxa"/>
              <w:left w:w="10" w:type="dxa"/>
              <w:right w:w="10" w:type="dxa"/>
            </w:tcMar>
            <w:vAlign w:val="center"/>
          </w:tcPr>
          <w:p>
            <w:pPr>
              <w:pStyle w:val="2"/>
              <w:jc w:val="center"/>
              <w:rPr>
                <w:sz w:val="21"/>
                <w:szCs w:val="21"/>
              </w:rPr>
            </w:pPr>
            <w:r>
              <w:rPr>
                <w:rFonts w:hint="eastAsia"/>
                <w:sz w:val="21"/>
                <w:szCs w:val="21"/>
              </w:rPr>
              <w:t>正弦稳态电路</w:t>
            </w:r>
          </w:p>
        </w:tc>
        <w:tc>
          <w:tcPr>
            <w:tcW w:w="3490" w:type="dxa"/>
            <w:vMerge w:val="restart"/>
            <w:shd w:val="clear" w:color="auto" w:fill="auto"/>
            <w:tcMar>
              <w:top w:w="10" w:type="dxa"/>
              <w:left w:w="10" w:type="dxa"/>
              <w:right w:w="10" w:type="dxa"/>
            </w:tcMar>
            <w:vAlign w:val="center"/>
          </w:tcPr>
          <w:p>
            <w:pPr>
              <w:pStyle w:val="2"/>
              <w:rPr>
                <w:sz w:val="21"/>
                <w:szCs w:val="21"/>
              </w:rPr>
            </w:pPr>
            <w:r>
              <w:rPr>
                <w:sz w:val="21"/>
                <w:szCs w:val="21"/>
              </w:rPr>
              <w:t>(</w:t>
            </w:r>
            <w:r>
              <w:rPr>
                <w:rFonts w:hint="eastAsia"/>
                <w:sz w:val="21"/>
                <w:szCs w:val="21"/>
              </w:rPr>
              <w:t>1</w:t>
            </w:r>
            <w:r>
              <w:rPr>
                <w:sz w:val="21"/>
                <w:szCs w:val="21"/>
              </w:rPr>
              <w:t>)</w:t>
            </w:r>
            <w:r>
              <w:rPr>
                <w:rFonts w:hint="eastAsia"/>
                <w:sz w:val="21"/>
                <w:szCs w:val="21"/>
              </w:rPr>
              <w:t>正弦稳态电路的基本概念：正弦稳态电路是激励和响应都随时间按正弦规律变化的线性电路</w:t>
            </w:r>
          </w:p>
          <w:p>
            <w:pPr>
              <w:pStyle w:val="2"/>
              <w:rPr>
                <w:sz w:val="21"/>
                <w:szCs w:val="21"/>
              </w:rPr>
            </w:pPr>
            <w:r>
              <w:rPr>
                <w:sz w:val="21"/>
                <w:szCs w:val="21"/>
              </w:rPr>
              <w:t>(</w:t>
            </w:r>
            <w:r>
              <w:rPr>
                <w:rFonts w:hint="eastAsia"/>
                <w:sz w:val="21"/>
                <w:szCs w:val="21"/>
              </w:rPr>
              <w:t>2</w:t>
            </w:r>
            <w:r>
              <w:rPr>
                <w:sz w:val="21"/>
                <w:szCs w:val="21"/>
              </w:rPr>
              <w:t>)</w:t>
            </w:r>
            <w:r>
              <w:rPr>
                <w:rFonts w:hint="eastAsia"/>
                <w:sz w:val="21"/>
                <w:szCs w:val="21"/>
              </w:rPr>
              <w:t>正弦量的基本特征：正弦量的三个基本特征：幅值（振幅、最大值）、周期</w:t>
            </w:r>
            <w:r>
              <w:rPr>
                <w:sz w:val="21"/>
                <w:szCs w:val="21"/>
              </w:rPr>
              <w:t>T或频率f或角频率ω、初相位φ</w:t>
            </w:r>
          </w:p>
          <w:p>
            <w:pPr>
              <w:pStyle w:val="2"/>
              <w:rPr>
                <w:sz w:val="21"/>
                <w:szCs w:val="21"/>
              </w:rPr>
            </w:pPr>
            <w:r>
              <w:rPr>
                <w:sz w:val="21"/>
                <w:szCs w:val="21"/>
              </w:rPr>
              <w:t>(</w:t>
            </w:r>
            <w:r>
              <w:rPr>
                <w:rFonts w:hint="eastAsia"/>
                <w:sz w:val="21"/>
                <w:szCs w:val="21"/>
              </w:rPr>
              <w:t>3</w:t>
            </w:r>
            <w:r>
              <w:rPr>
                <w:sz w:val="21"/>
                <w:szCs w:val="21"/>
              </w:rPr>
              <w:t>)</w:t>
            </w:r>
            <w:r>
              <w:rPr>
                <w:rFonts w:hint="eastAsia"/>
                <w:sz w:val="21"/>
                <w:szCs w:val="21"/>
              </w:rPr>
              <w:t>正弦稳态电路的功率：正弦稳态电路中功率的概念，包括瞬时功率、平均功率和有效值等</w:t>
            </w:r>
          </w:p>
          <w:p>
            <w:pPr>
              <w:pStyle w:val="2"/>
              <w:rPr>
                <w:sz w:val="21"/>
                <w:szCs w:val="21"/>
              </w:rPr>
            </w:pPr>
            <w:r>
              <w:rPr>
                <w:sz w:val="21"/>
                <w:szCs w:val="21"/>
              </w:rPr>
              <w:t>(</w:t>
            </w:r>
            <w:r>
              <w:rPr>
                <w:rFonts w:hint="eastAsia"/>
                <w:sz w:val="21"/>
                <w:szCs w:val="21"/>
              </w:rPr>
              <w:t>4</w:t>
            </w:r>
            <w:r>
              <w:rPr>
                <w:sz w:val="21"/>
                <w:szCs w:val="21"/>
              </w:rPr>
              <w:t>)</w:t>
            </w:r>
            <w:r>
              <w:rPr>
                <w:rFonts w:hint="eastAsia"/>
                <w:sz w:val="21"/>
                <w:szCs w:val="21"/>
              </w:rPr>
              <w:t>相量法：相量法的概念，知道它是用复数或向量表示正弦电压和电流的方法</w:t>
            </w:r>
          </w:p>
          <w:p>
            <w:pPr>
              <w:pStyle w:val="2"/>
              <w:rPr>
                <w:sz w:val="21"/>
                <w:szCs w:val="21"/>
              </w:rPr>
            </w:pPr>
            <w:r>
              <w:rPr>
                <w:rFonts w:hint="eastAsia"/>
                <w:sz w:val="21"/>
                <w:szCs w:val="21"/>
              </w:rPr>
              <w:t>相量法在正弦稳态电路分析中的应用，如简化计算、直观表示电压和电流之间的关系等</w:t>
            </w:r>
          </w:p>
          <w:p>
            <w:pPr>
              <w:pStyle w:val="2"/>
              <w:rPr>
                <w:sz w:val="21"/>
                <w:szCs w:val="21"/>
              </w:rPr>
            </w:pPr>
            <w:r>
              <w:rPr>
                <w:sz w:val="21"/>
                <w:szCs w:val="21"/>
              </w:rPr>
              <w:t>(</w:t>
            </w:r>
            <w:r>
              <w:rPr>
                <w:rFonts w:hint="eastAsia"/>
                <w:sz w:val="21"/>
                <w:szCs w:val="21"/>
              </w:rPr>
              <w:t>5</w:t>
            </w:r>
            <w:r>
              <w:rPr>
                <w:sz w:val="21"/>
                <w:szCs w:val="21"/>
              </w:rPr>
              <w:t>)</w:t>
            </w:r>
            <w:r>
              <w:rPr>
                <w:rFonts w:hint="eastAsia"/>
                <w:sz w:val="21"/>
                <w:szCs w:val="21"/>
              </w:rPr>
              <w:t>阻抗与导纳：阻抗和导纳与电阻、电感和电容之间的关系，以及它们在电路分析中的作用</w:t>
            </w:r>
          </w:p>
        </w:tc>
        <w:tc>
          <w:tcPr>
            <w:tcW w:w="3270" w:type="dxa"/>
            <w:vMerge w:val="restart"/>
            <w:shd w:val="clear" w:color="auto" w:fill="auto"/>
            <w:tcMar>
              <w:top w:w="10" w:type="dxa"/>
              <w:left w:w="10" w:type="dxa"/>
              <w:right w:w="10" w:type="dxa"/>
            </w:tcMar>
            <w:vAlign w:val="center"/>
          </w:tcPr>
          <w:p>
            <w:pPr>
              <w:pStyle w:val="2"/>
              <w:rPr>
                <w:sz w:val="21"/>
                <w:szCs w:val="21"/>
              </w:rPr>
            </w:pPr>
            <w:r>
              <w:rPr>
                <w:rFonts w:hint="eastAsia"/>
                <w:sz w:val="21"/>
                <w:szCs w:val="21"/>
              </w:rPr>
              <w:t>(1)正弦稳态电路的分析：使用相量法分析正弦稳态电路，包括画出电路的相量模型、列出复系数代数方程并求解等</w:t>
            </w:r>
          </w:p>
          <w:p>
            <w:pPr>
              <w:pStyle w:val="2"/>
              <w:rPr>
                <w:sz w:val="21"/>
                <w:szCs w:val="21"/>
              </w:rPr>
            </w:pPr>
            <w:r>
              <w:rPr>
                <w:sz w:val="21"/>
                <w:szCs w:val="21"/>
              </w:rPr>
              <w:t>(</w:t>
            </w:r>
            <w:r>
              <w:rPr>
                <w:rFonts w:hint="eastAsia"/>
                <w:sz w:val="21"/>
                <w:szCs w:val="21"/>
              </w:rPr>
              <w:t>2</w:t>
            </w:r>
            <w:r>
              <w:rPr>
                <w:sz w:val="21"/>
                <w:szCs w:val="21"/>
              </w:rPr>
              <w:t>)</w:t>
            </w:r>
            <w:r>
              <w:rPr>
                <w:rFonts w:hint="eastAsia"/>
                <w:sz w:val="21"/>
                <w:szCs w:val="21"/>
              </w:rPr>
              <w:t>计算与仿真：计算正弦稳态电路中电压、电流和功率等参数的瞬时值、有效值和平均值等</w:t>
            </w:r>
          </w:p>
          <w:p>
            <w:pPr>
              <w:pStyle w:val="2"/>
              <w:rPr>
                <w:sz w:val="21"/>
                <w:szCs w:val="21"/>
              </w:rPr>
            </w:pPr>
            <w:r>
              <w:rPr>
                <w:sz w:val="21"/>
                <w:szCs w:val="21"/>
              </w:rPr>
              <w:t>(</w:t>
            </w:r>
            <w:r>
              <w:rPr>
                <w:rFonts w:hint="eastAsia"/>
                <w:sz w:val="21"/>
                <w:szCs w:val="21"/>
              </w:rPr>
              <w:t>3</w:t>
            </w:r>
            <w:r>
              <w:rPr>
                <w:sz w:val="21"/>
                <w:szCs w:val="21"/>
              </w:rPr>
              <w:t>)</w:t>
            </w:r>
            <w:r>
              <w:rPr>
                <w:rFonts w:hint="eastAsia"/>
                <w:sz w:val="21"/>
                <w:szCs w:val="21"/>
              </w:rPr>
              <w:t>实验技能：使用实验设备（如示波器、信号源等）观察和测量正弦稳态电路的响应</w:t>
            </w:r>
          </w:p>
          <w:p>
            <w:pPr>
              <w:pStyle w:val="2"/>
              <w:rPr>
                <w:sz w:val="21"/>
                <w:szCs w:val="21"/>
              </w:rPr>
            </w:pPr>
            <w:r>
              <w:rPr>
                <w:sz w:val="21"/>
                <w:szCs w:val="21"/>
              </w:rPr>
              <w:t>(</w:t>
            </w:r>
            <w:r>
              <w:rPr>
                <w:rFonts w:hint="eastAsia"/>
                <w:sz w:val="21"/>
                <w:szCs w:val="21"/>
              </w:rPr>
              <w:t>4</w:t>
            </w:r>
            <w:r>
              <w:rPr>
                <w:sz w:val="21"/>
                <w:szCs w:val="21"/>
              </w:rPr>
              <w:t>)</w:t>
            </w:r>
            <w:r>
              <w:rPr>
                <w:rFonts w:hint="eastAsia"/>
                <w:sz w:val="21"/>
                <w:szCs w:val="21"/>
              </w:rPr>
              <w:t>故障排查：根据正弦稳态电路的特点和实验结果，分析电路故障的原因和位置</w:t>
            </w:r>
          </w:p>
          <w:p>
            <w:pPr>
              <w:pStyle w:val="2"/>
              <w:rPr>
                <w:sz w:val="21"/>
                <w:szCs w:val="21"/>
              </w:rPr>
            </w:pPr>
            <w:r>
              <w:rPr>
                <w:sz w:val="21"/>
                <w:szCs w:val="21"/>
              </w:rPr>
              <w:t>(</w:t>
            </w:r>
            <w:r>
              <w:rPr>
                <w:rFonts w:hint="eastAsia"/>
                <w:sz w:val="21"/>
                <w:szCs w:val="21"/>
              </w:rPr>
              <w:t>5</w:t>
            </w:r>
            <w:r>
              <w:rPr>
                <w:sz w:val="21"/>
                <w:szCs w:val="21"/>
              </w:rPr>
              <w:t>)</w:t>
            </w:r>
            <w:r>
              <w:rPr>
                <w:rFonts w:hint="eastAsia"/>
                <w:sz w:val="21"/>
                <w:szCs w:val="21"/>
              </w:rPr>
              <w:t>应用实践：将正弦稳态电路的分析方法和理论应用到实际工程中，如建筑消防系统的电气设计、安装和调试等</w:t>
            </w:r>
          </w:p>
        </w:tc>
      </w:tr>
      <w:tr>
        <w:tblPrEx>
          <w:tblBorders>
            <w:top w:val="single" w:color="000000" w:sz="12" w:space="0"/>
            <w:left w:val="single" w:color="000000" w:sz="12" w:space="0"/>
            <w:bottom w:val="single" w:color="000000" w:sz="12" w:space="0"/>
            <w:right w:val="single" w:color="000000" w:sz="12" w:space="0"/>
            <w:insideH w:val="single" w:color="auto" w:sz="4" w:space="0"/>
            <w:insideV w:val="single" w:color="auto" w:sz="4" w:space="0"/>
          </w:tblBorders>
          <w:tblCellMar>
            <w:top w:w="0" w:type="dxa"/>
            <w:left w:w="0" w:type="dxa"/>
            <w:bottom w:w="0" w:type="dxa"/>
            <w:right w:w="0" w:type="dxa"/>
          </w:tblCellMar>
        </w:tblPrEx>
        <w:trPr>
          <w:trHeight w:val="4595" w:hRule="atLeast"/>
        </w:trPr>
        <w:tc>
          <w:tcPr>
            <w:tcW w:w="990" w:type="dxa"/>
            <w:vMerge w:val="continue"/>
            <w:shd w:val="clear" w:color="auto" w:fill="auto"/>
            <w:tcMar>
              <w:top w:w="10" w:type="dxa"/>
              <w:left w:w="10" w:type="dxa"/>
              <w:right w:w="10" w:type="dxa"/>
            </w:tcMar>
            <w:vAlign w:val="center"/>
          </w:tcPr>
          <w:p>
            <w:pPr>
              <w:pStyle w:val="2"/>
              <w:jc w:val="center"/>
            </w:pPr>
          </w:p>
        </w:tc>
        <w:tc>
          <w:tcPr>
            <w:tcW w:w="1570" w:type="dxa"/>
            <w:vMerge w:val="continue"/>
            <w:shd w:val="clear" w:color="auto" w:fill="auto"/>
            <w:tcMar>
              <w:top w:w="10" w:type="dxa"/>
              <w:left w:w="10" w:type="dxa"/>
              <w:right w:w="10" w:type="dxa"/>
            </w:tcMar>
            <w:vAlign w:val="center"/>
          </w:tcPr>
          <w:p>
            <w:pPr>
              <w:pStyle w:val="2"/>
              <w:jc w:val="center"/>
            </w:pPr>
          </w:p>
        </w:tc>
        <w:tc>
          <w:tcPr>
            <w:tcW w:w="3490" w:type="dxa"/>
            <w:vMerge w:val="continue"/>
            <w:shd w:val="clear" w:color="auto" w:fill="auto"/>
            <w:tcMar>
              <w:top w:w="10" w:type="dxa"/>
              <w:left w:w="10" w:type="dxa"/>
              <w:right w:w="10" w:type="dxa"/>
            </w:tcMar>
            <w:vAlign w:val="center"/>
          </w:tcPr>
          <w:p>
            <w:pPr>
              <w:pStyle w:val="2"/>
            </w:pPr>
          </w:p>
        </w:tc>
        <w:tc>
          <w:tcPr>
            <w:tcW w:w="3270" w:type="dxa"/>
            <w:vMerge w:val="continue"/>
            <w:shd w:val="clear" w:color="auto" w:fill="auto"/>
            <w:tcMar>
              <w:top w:w="10" w:type="dxa"/>
              <w:left w:w="10" w:type="dxa"/>
              <w:right w:w="10" w:type="dxa"/>
            </w:tcMar>
            <w:vAlign w:val="center"/>
          </w:tcPr>
          <w:p>
            <w:pPr>
              <w:pStyle w:val="2"/>
            </w:pPr>
          </w:p>
        </w:tc>
      </w:tr>
      <w:tr>
        <w:tblPrEx>
          <w:tblBorders>
            <w:top w:val="single" w:color="000000" w:sz="12" w:space="0"/>
            <w:left w:val="single" w:color="000000" w:sz="12" w:space="0"/>
            <w:bottom w:val="single" w:color="000000" w:sz="12" w:space="0"/>
            <w:right w:val="single" w:color="000000" w:sz="12" w:space="0"/>
            <w:insideH w:val="single" w:color="auto" w:sz="4" w:space="0"/>
            <w:insideV w:val="single" w:color="auto" w:sz="4" w:space="0"/>
          </w:tblBorders>
          <w:tblCellMar>
            <w:top w:w="0" w:type="dxa"/>
            <w:left w:w="0" w:type="dxa"/>
            <w:bottom w:w="0" w:type="dxa"/>
            <w:right w:w="0" w:type="dxa"/>
          </w:tblCellMar>
        </w:tblPrEx>
        <w:trPr>
          <w:trHeight w:val="4570" w:hRule="atLeast"/>
        </w:trPr>
        <w:tc>
          <w:tcPr>
            <w:tcW w:w="990" w:type="dxa"/>
            <w:vMerge w:val="restart"/>
            <w:shd w:val="clear" w:color="auto" w:fill="auto"/>
            <w:tcMar>
              <w:top w:w="10" w:type="dxa"/>
              <w:left w:w="10" w:type="dxa"/>
              <w:right w:w="10" w:type="dxa"/>
            </w:tcMar>
            <w:vAlign w:val="center"/>
          </w:tcPr>
          <w:p>
            <w:pPr>
              <w:pStyle w:val="2"/>
              <w:jc w:val="center"/>
              <w:rPr>
                <w:sz w:val="21"/>
                <w:szCs w:val="21"/>
              </w:rPr>
            </w:pPr>
            <w:r>
              <w:rPr>
                <w:rFonts w:hint="eastAsia"/>
                <w:sz w:val="21"/>
                <w:szCs w:val="21"/>
              </w:rPr>
              <w:t>5</w:t>
            </w:r>
          </w:p>
        </w:tc>
        <w:tc>
          <w:tcPr>
            <w:tcW w:w="1570" w:type="dxa"/>
            <w:vMerge w:val="restart"/>
            <w:shd w:val="clear" w:color="auto" w:fill="auto"/>
            <w:tcMar>
              <w:top w:w="10" w:type="dxa"/>
              <w:left w:w="10" w:type="dxa"/>
              <w:right w:w="10" w:type="dxa"/>
            </w:tcMar>
            <w:vAlign w:val="center"/>
          </w:tcPr>
          <w:p>
            <w:pPr>
              <w:pStyle w:val="2"/>
              <w:jc w:val="center"/>
              <w:rPr>
                <w:sz w:val="21"/>
                <w:szCs w:val="21"/>
              </w:rPr>
            </w:pPr>
            <w:r>
              <w:rPr>
                <w:rFonts w:hint="eastAsia"/>
                <w:sz w:val="21"/>
                <w:szCs w:val="21"/>
              </w:rPr>
              <w:t>三相交流电路</w:t>
            </w:r>
          </w:p>
        </w:tc>
        <w:tc>
          <w:tcPr>
            <w:tcW w:w="3490" w:type="dxa"/>
            <w:vMerge w:val="restart"/>
            <w:shd w:val="clear" w:color="auto" w:fill="auto"/>
            <w:tcMar>
              <w:top w:w="10" w:type="dxa"/>
              <w:left w:w="10" w:type="dxa"/>
              <w:right w:w="10" w:type="dxa"/>
            </w:tcMar>
            <w:vAlign w:val="center"/>
          </w:tcPr>
          <w:p>
            <w:pPr>
              <w:pStyle w:val="2"/>
              <w:rPr>
                <w:sz w:val="21"/>
                <w:szCs w:val="21"/>
              </w:rPr>
            </w:pPr>
            <w:r>
              <w:rPr>
                <w:rFonts w:hint="eastAsia"/>
                <w:sz w:val="21"/>
                <w:szCs w:val="21"/>
              </w:rPr>
              <w:t>(1)三相交流电的产生：电机内部有三个相差</w:t>
            </w:r>
            <w:r>
              <w:rPr>
                <w:sz w:val="21"/>
                <w:szCs w:val="21"/>
              </w:rPr>
              <w:t>120°角度的线圈，转动产生三相交流电</w:t>
            </w:r>
          </w:p>
          <w:p>
            <w:pPr>
              <w:pStyle w:val="2"/>
              <w:rPr>
                <w:sz w:val="21"/>
                <w:szCs w:val="21"/>
              </w:rPr>
            </w:pPr>
            <w:r>
              <w:rPr>
                <w:sz w:val="21"/>
                <w:szCs w:val="21"/>
              </w:rPr>
              <w:t>(</w:t>
            </w:r>
            <w:r>
              <w:rPr>
                <w:rFonts w:hint="eastAsia"/>
                <w:sz w:val="21"/>
                <w:szCs w:val="21"/>
              </w:rPr>
              <w:t>2</w:t>
            </w:r>
            <w:r>
              <w:rPr>
                <w:sz w:val="21"/>
                <w:szCs w:val="21"/>
              </w:rPr>
              <w:t>)</w:t>
            </w:r>
            <w:r>
              <w:rPr>
                <w:rFonts w:hint="eastAsia"/>
                <w:sz w:val="21"/>
                <w:szCs w:val="21"/>
              </w:rPr>
              <w:t>相电压与线电压：</w:t>
            </w:r>
          </w:p>
          <w:p>
            <w:pPr>
              <w:pStyle w:val="2"/>
              <w:rPr>
                <w:sz w:val="21"/>
                <w:szCs w:val="21"/>
              </w:rPr>
            </w:pPr>
            <w:r>
              <w:rPr>
                <w:rFonts w:hint="eastAsia"/>
                <w:sz w:val="21"/>
                <w:szCs w:val="21"/>
              </w:rPr>
              <w:t>相电压：端线与中性线间（发电机每相绕组）的电压</w:t>
            </w:r>
          </w:p>
          <w:p>
            <w:pPr>
              <w:pStyle w:val="2"/>
              <w:rPr>
                <w:sz w:val="21"/>
                <w:szCs w:val="21"/>
              </w:rPr>
            </w:pPr>
            <w:r>
              <w:rPr>
                <w:rFonts w:hint="eastAsia"/>
                <w:sz w:val="21"/>
                <w:szCs w:val="21"/>
              </w:rPr>
              <w:t>线电压：端线与端线之间的电压</w:t>
            </w:r>
          </w:p>
          <w:p>
            <w:pPr>
              <w:pStyle w:val="2"/>
              <w:rPr>
                <w:sz w:val="21"/>
                <w:szCs w:val="21"/>
              </w:rPr>
            </w:pPr>
            <w:r>
              <w:rPr>
                <w:sz w:val="21"/>
                <w:szCs w:val="21"/>
              </w:rPr>
              <w:t>(</w:t>
            </w:r>
            <w:r>
              <w:rPr>
                <w:rFonts w:hint="eastAsia"/>
                <w:sz w:val="21"/>
                <w:szCs w:val="21"/>
              </w:rPr>
              <w:t>3</w:t>
            </w:r>
            <w:r>
              <w:rPr>
                <w:sz w:val="21"/>
                <w:szCs w:val="21"/>
              </w:rPr>
              <w:t>)</w:t>
            </w:r>
            <w:r>
              <w:rPr>
                <w:rFonts w:hint="eastAsia"/>
                <w:sz w:val="21"/>
                <w:szCs w:val="21"/>
              </w:rPr>
              <w:t>电源联结方式：</w:t>
            </w:r>
          </w:p>
          <w:p>
            <w:pPr>
              <w:pStyle w:val="2"/>
              <w:rPr>
                <w:sz w:val="21"/>
                <w:szCs w:val="21"/>
              </w:rPr>
            </w:pPr>
            <w:r>
              <w:rPr>
                <w:rFonts w:hint="eastAsia"/>
                <w:sz w:val="21"/>
                <w:szCs w:val="21"/>
              </w:rPr>
              <w:t>星形联结（</w:t>
            </w:r>
            <w:r>
              <w:rPr>
                <w:sz w:val="21"/>
                <w:szCs w:val="21"/>
              </w:rPr>
              <w:t>Y形）：电源Y形联结时，线电压超前相应的相电压30°，三相线电压也是对称的</w:t>
            </w:r>
          </w:p>
          <w:p>
            <w:pPr>
              <w:pStyle w:val="2"/>
              <w:rPr>
                <w:sz w:val="21"/>
                <w:szCs w:val="21"/>
              </w:rPr>
            </w:pPr>
            <w:r>
              <w:rPr>
                <w:rFonts w:hint="eastAsia"/>
                <w:sz w:val="21"/>
                <w:szCs w:val="21"/>
              </w:rPr>
              <w:t>三角形联结（▲形）：电源▲形联结时线电压等于相电压</w:t>
            </w:r>
          </w:p>
          <w:p>
            <w:pPr>
              <w:pStyle w:val="2"/>
              <w:rPr>
                <w:sz w:val="21"/>
                <w:szCs w:val="21"/>
              </w:rPr>
            </w:pPr>
            <w:r>
              <w:rPr>
                <w:sz w:val="21"/>
                <w:szCs w:val="21"/>
              </w:rPr>
              <w:t>(</w:t>
            </w:r>
            <w:r>
              <w:rPr>
                <w:rFonts w:hint="eastAsia"/>
                <w:sz w:val="21"/>
                <w:szCs w:val="21"/>
              </w:rPr>
              <w:t>4</w:t>
            </w:r>
            <w:r>
              <w:rPr>
                <w:sz w:val="21"/>
                <w:szCs w:val="21"/>
              </w:rPr>
              <w:t>)</w:t>
            </w:r>
            <w:r>
              <w:rPr>
                <w:rFonts w:hint="eastAsia"/>
                <w:sz w:val="21"/>
                <w:szCs w:val="21"/>
              </w:rPr>
              <w:t>电流概念：</w:t>
            </w:r>
          </w:p>
          <w:p>
            <w:pPr>
              <w:pStyle w:val="2"/>
              <w:rPr>
                <w:sz w:val="21"/>
                <w:szCs w:val="21"/>
              </w:rPr>
            </w:pPr>
            <w:r>
              <w:rPr>
                <w:rFonts w:hint="eastAsia"/>
                <w:sz w:val="21"/>
                <w:szCs w:val="21"/>
              </w:rPr>
              <w:t>线电流：流过端线的电流</w:t>
            </w:r>
          </w:p>
          <w:p>
            <w:pPr>
              <w:pStyle w:val="2"/>
              <w:rPr>
                <w:sz w:val="21"/>
                <w:szCs w:val="21"/>
              </w:rPr>
            </w:pPr>
            <w:r>
              <w:rPr>
                <w:sz w:val="21"/>
                <w:szCs w:val="21"/>
              </w:rPr>
              <w:t>(</w:t>
            </w:r>
            <w:r>
              <w:rPr>
                <w:rFonts w:hint="eastAsia"/>
                <w:sz w:val="21"/>
                <w:szCs w:val="21"/>
              </w:rPr>
              <w:t>5</w:t>
            </w:r>
            <w:r>
              <w:rPr>
                <w:sz w:val="21"/>
                <w:szCs w:val="21"/>
              </w:rPr>
              <w:t>)</w:t>
            </w:r>
            <w:r>
              <w:rPr>
                <w:rFonts w:hint="eastAsia"/>
                <w:sz w:val="21"/>
                <w:szCs w:val="21"/>
              </w:rPr>
              <w:t>三相负载与中性线：</w:t>
            </w:r>
          </w:p>
          <w:p>
            <w:pPr>
              <w:pStyle w:val="2"/>
              <w:rPr>
                <w:sz w:val="21"/>
                <w:szCs w:val="21"/>
              </w:rPr>
            </w:pPr>
            <w:r>
              <w:rPr>
                <w:rFonts w:hint="eastAsia"/>
                <w:sz w:val="21"/>
                <w:szCs w:val="21"/>
              </w:rPr>
              <w:t>当三相负载对称时，中性线中没有电流，所以中性线可以不要，形成三相三线制电路</w:t>
            </w:r>
          </w:p>
          <w:p>
            <w:pPr>
              <w:pStyle w:val="2"/>
              <w:rPr>
                <w:sz w:val="21"/>
                <w:szCs w:val="21"/>
              </w:rPr>
            </w:pPr>
            <w:r>
              <w:rPr>
                <w:rFonts w:hint="eastAsia"/>
                <w:sz w:val="21"/>
                <w:szCs w:val="21"/>
              </w:rPr>
              <w:t>但当三相电流不对称时，中性线电流不等于零</w:t>
            </w:r>
          </w:p>
          <w:p>
            <w:pPr>
              <w:pStyle w:val="2"/>
              <w:rPr>
                <w:sz w:val="21"/>
                <w:szCs w:val="21"/>
              </w:rPr>
            </w:pPr>
            <w:r>
              <w:rPr>
                <w:sz w:val="21"/>
                <w:szCs w:val="21"/>
              </w:rPr>
              <w:t>(</w:t>
            </w:r>
            <w:r>
              <w:rPr>
                <w:rFonts w:hint="eastAsia"/>
                <w:sz w:val="21"/>
                <w:szCs w:val="21"/>
              </w:rPr>
              <w:t>6</w:t>
            </w:r>
            <w:r>
              <w:rPr>
                <w:sz w:val="21"/>
                <w:szCs w:val="21"/>
              </w:rPr>
              <w:t>)</w:t>
            </w:r>
            <w:r>
              <w:rPr>
                <w:rFonts w:hint="eastAsia"/>
                <w:sz w:val="21"/>
                <w:szCs w:val="21"/>
              </w:rPr>
              <w:t>三相交流电路的类型：三相四线制：包括相线</w:t>
            </w:r>
            <w:r>
              <w:rPr>
                <w:sz w:val="21"/>
                <w:szCs w:val="21"/>
              </w:rPr>
              <w:t>A、B、C，保护零线PEN，PEN线上有工作电流通过，PEN在进入用电建筑物处要做重复接地；属于TN-C接地系统</w:t>
            </w:r>
          </w:p>
        </w:tc>
        <w:tc>
          <w:tcPr>
            <w:tcW w:w="3270" w:type="dxa"/>
            <w:vMerge w:val="restart"/>
            <w:shd w:val="clear" w:color="auto" w:fill="auto"/>
            <w:tcMar>
              <w:top w:w="10" w:type="dxa"/>
              <w:left w:w="10" w:type="dxa"/>
              <w:right w:w="10" w:type="dxa"/>
            </w:tcMar>
            <w:vAlign w:val="center"/>
          </w:tcPr>
          <w:p>
            <w:pPr>
              <w:pStyle w:val="2"/>
              <w:rPr>
                <w:sz w:val="21"/>
                <w:szCs w:val="21"/>
              </w:rPr>
            </w:pPr>
            <w:r>
              <w:rPr>
                <w:rFonts w:hint="eastAsia"/>
                <w:sz w:val="21"/>
                <w:szCs w:val="21"/>
              </w:rPr>
              <w:t>(1)电路分析：分析三相交流电路的工作状态，包括电压、电流、功率等参数的计算</w:t>
            </w:r>
          </w:p>
          <w:p>
            <w:pPr>
              <w:pStyle w:val="2"/>
              <w:rPr>
                <w:sz w:val="21"/>
                <w:szCs w:val="21"/>
              </w:rPr>
            </w:pPr>
            <w:r>
              <w:rPr>
                <w:sz w:val="21"/>
                <w:szCs w:val="21"/>
              </w:rPr>
              <w:t>(</w:t>
            </w:r>
            <w:r>
              <w:rPr>
                <w:rFonts w:hint="eastAsia"/>
                <w:sz w:val="21"/>
                <w:szCs w:val="21"/>
              </w:rPr>
              <w:t>2</w:t>
            </w:r>
            <w:r>
              <w:rPr>
                <w:sz w:val="21"/>
                <w:szCs w:val="21"/>
              </w:rPr>
              <w:t>)</w:t>
            </w:r>
            <w:r>
              <w:rPr>
                <w:rFonts w:hint="eastAsia"/>
                <w:sz w:val="21"/>
                <w:szCs w:val="21"/>
              </w:rPr>
              <w:t>电路图绘制：根据给定的参数和要求，绘制出正确的三相交流电路图，包括星形联结和三角形联结电路图</w:t>
            </w:r>
          </w:p>
          <w:p>
            <w:pPr>
              <w:pStyle w:val="2"/>
              <w:rPr>
                <w:sz w:val="21"/>
                <w:szCs w:val="21"/>
              </w:rPr>
            </w:pPr>
            <w:r>
              <w:rPr>
                <w:sz w:val="21"/>
                <w:szCs w:val="21"/>
              </w:rPr>
              <w:t>(</w:t>
            </w:r>
            <w:r>
              <w:rPr>
                <w:rFonts w:hint="eastAsia"/>
                <w:sz w:val="21"/>
                <w:szCs w:val="21"/>
              </w:rPr>
              <w:t>3</w:t>
            </w:r>
            <w:r>
              <w:rPr>
                <w:sz w:val="21"/>
                <w:szCs w:val="21"/>
              </w:rPr>
              <w:t>)</w:t>
            </w:r>
            <w:r>
              <w:rPr>
                <w:rFonts w:hint="eastAsia"/>
                <w:sz w:val="21"/>
                <w:szCs w:val="21"/>
              </w:rPr>
              <w:t>故障排查：根据三相交流电路的特点和实验结果，分析电路故障的原因和位置，基本的故障排除方法</w:t>
            </w:r>
          </w:p>
          <w:p>
            <w:pPr>
              <w:pStyle w:val="2"/>
              <w:rPr>
                <w:sz w:val="21"/>
                <w:szCs w:val="21"/>
              </w:rPr>
            </w:pPr>
            <w:r>
              <w:rPr>
                <w:sz w:val="21"/>
                <w:szCs w:val="21"/>
              </w:rPr>
              <w:t>(</w:t>
            </w:r>
            <w:r>
              <w:rPr>
                <w:rFonts w:hint="eastAsia"/>
                <w:sz w:val="21"/>
                <w:szCs w:val="21"/>
              </w:rPr>
              <w:t>4</w:t>
            </w:r>
            <w:r>
              <w:rPr>
                <w:sz w:val="21"/>
                <w:szCs w:val="21"/>
              </w:rPr>
              <w:t>)</w:t>
            </w:r>
            <w:r>
              <w:rPr>
                <w:rFonts w:hint="eastAsia"/>
                <w:sz w:val="21"/>
                <w:szCs w:val="21"/>
              </w:rPr>
              <w:t>实际应用：将所学的三相交流电路知识应用到实际工程中，如建筑消防系统的电气设计、安装和调试等</w:t>
            </w:r>
          </w:p>
        </w:tc>
      </w:tr>
      <w:tr>
        <w:tblPrEx>
          <w:tblBorders>
            <w:top w:val="single" w:color="000000" w:sz="12" w:space="0"/>
            <w:left w:val="single" w:color="000000" w:sz="12" w:space="0"/>
            <w:bottom w:val="single" w:color="000000" w:sz="12" w:space="0"/>
            <w:right w:val="single" w:color="000000" w:sz="12" w:space="0"/>
            <w:insideH w:val="single" w:color="auto" w:sz="4" w:space="0"/>
            <w:insideV w:val="single" w:color="auto" w:sz="4" w:space="0"/>
          </w:tblBorders>
          <w:tblCellMar>
            <w:top w:w="0" w:type="dxa"/>
            <w:left w:w="0" w:type="dxa"/>
            <w:bottom w:w="0" w:type="dxa"/>
            <w:right w:w="0" w:type="dxa"/>
          </w:tblCellMar>
        </w:tblPrEx>
        <w:trPr>
          <w:trHeight w:val="616" w:hRule="atLeast"/>
        </w:trPr>
        <w:tc>
          <w:tcPr>
            <w:tcW w:w="990" w:type="dxa"/>
            <w:vMerge w:val="continue"/>
            <w:shd w:val="clear" w:color="auto" w:fill="auto"/>
            <w:tcMar>
              <w:top w:w="10" w:type="dxa"/>
              <w:left w:w="10" w:type="dxa"/>
              <w:right w:w="10" w:type="dxa"/>
            </w:tcMar>
            <w:vAlign w:val="center"/>
          </w:tcPr>
          <w:p>
            <w:pPr>
              <w:pStyle w:val="2"/>
              <w:jc w:val="center"/>
              <w:rPr>
                <w:sz w:val="21"/>
                <w:szCs w:val="21"/>
              </w:rPr>
            </w:pPr>
          </w:p>
        </w:tc>
        <w:tc>
          <w:tcPr>
            <w:tcW w:w="1570" w:type="dxa"/>
            <w:vMerge w:val="continue"/>
            <w:shd w:val="clear" w:color="auto" w:fill="auto"/>
            <w:tcMar>
              <w:top w:w="10" w:type="dxa"/>
              <w:left w:w="10" w:type="dxa"/>
              <w:right w:w="10" w:type="dxa"/>
            </w:tcMar>
            <w:vAlign w:val="center"/>
          </w:tcPr>
          <w:p>
            <w:pPr>
              <w:pStyle w:val="2"/>
              <w:jc w:val="center"/>
              <w:rPr>
                <w:sz w:val="21"/>
                <w:szCs w:val="21"/>
              </w:rPr>
            </w:pPr>
          </w:p>
        </w:tc>
        <w:tc>
          <w:tcPr>
            <w:tcW w:w="3490" w:type="dxa"/>
            <w:vMerge w:val="continue"/>
            <w:shd w:val="clear" w:color="auto" w:fill="auto"/>
            <w:tcMar>
              <w:top w:w="10" w:type="dxa"/>
              <w:left w:w="10" w:type="dxa"/>
              <w:right w:w="10" w:type="dxa"/>
            </w:tcMar>
            <w:vAlign w:val="center"/>
          </w:tcPr>
          <w:p>
            <w:pPr>
              <w:pStyle w:val="2"/>
              <w:rPr>
                <w:sz w:val="21"/>
                <w:szCs w:val="21"/>
              </w:rPr>
            </w:pPr>
          </w:p>
        </w:tc>
        <w:tc>
          <w:tcPr>
            <w:tcW w:w="3270" w:type="dxa"/>
            <w:vMerge w:val="continue"/>
            <w:shd w:val="clear" w:color="auto" w:fill="auto"/>
            <w:tcMar>
              <w:top w:w="10" w:type="dxa"/>
              <w:left w:w="10" w:type="dxa"/>
              <w:right w:w="10" w:type="dxa"/>
            </w:tcMar>
            <w:vAlign w:val="center"/>
          </w:tcPr>
          <w:p>
            <w:pPr>
              <w:pStyle w:val="2"/>
              <w:rPr>
                <w:sz w:val="21"/>
                <w:szCs w:val="21"/>
              </w:rPr>
            </w:pPr>
          </w:p>
        </w:tc>
      </w:tr>
      <w:tr>
        <w:tblPrEx>
          <w:tblBorders>
            <w:top w:val="single" w:color="000000" w:sz="12" w:space="0"/>
            <w:left w:val="single" w:color="000000" w:sz="12" w:space="0"/>
            <w:bottom w:val="single" w:color="000000" w:sz="12" w:space="0"/>
            <w:right w:val="single" w:color="000000" w:sz="12" w:space="0"/>
            <w:insideH w:val="single" w:color="auto" w:sz="4" w:space="0"/>
            <w:insideV w:val="single" w:color="auto" w:sz="4" w:space="0"/>
          </w:tblBorders>
          <w:tblCellMar>
            <w:top w:w="0" w:type="dxa"/>
            <w:left w:w="0" w:type="dxa"/>
            <w:bottom w:w="0" w:type="dxa"/>
            <w:right w:w="0" w:type="dxa"/>
          </w:tblCellMar>
        </w:tblPrEx>
        <w:trPr>
          <w:trHeight w:val="1186" w:hRule="atLeast"/>
        </w:trPr>
        <w:tc>
          <w:tcPr>
            <w:tcW w:w="990" w:type="dxa"/>
            <w:vMerge w:val="continue"/>
            <w:shd w:val="clear" w:color="auto" w:fill="auto"/>
            <w:tcMar>
              <w:top w:w="10" w:type="dxa"/>
              <w:left w:w="10" w:type="dxa"/>
              <w:right w:w="10" w:type="dxa"/>
            </w:tcMar>
            <w:vAlign w:val="center"/>
          </w:tcPr>
          <w:p>
            <w:pPr>
              <w:pStyle w:val="2"/>
              <w:jc w:val="center"/>
              <w:rPr>
                <w:sz w:val="21"/>
                <w:szCs w:val="21"/>
              </w:rPr>
            </w:pPr>
          </w:p>
        </w:tc>
        <w:tc>
          <w:tcPr>
            <w:tcW w:w="1570" w:type="dxa"/>
            <w:vMerge w:val="continue"/>
            <w:shd w:val="clear" w:color="auto" w:fill="auto"/>
            <w:tcMar>
              <w:top w:w="10" w:type="dxa"/>
              <w:left w:w="10" w:type="dxa"/>
              <w:right w:w="10" w:type="dxa"/>
            </w:tcMar>
            <w:vAlign w:val="center"/>
          </w:tcPr>
          <w:p>
            <w:pPr>
              <w:pStyle w:val="2"/>
              <w:jc w:val="center"/>
              <w:rPr>
                <w:sz w:val="21"/>
                <w:szCs w:val="21"/>
              </w:rPr>
            </w:pPr>
          </w:p>
        </w:tc>
        <w:tc>
          <w:tcPr>
            <w:tcW w:w="3490" w:type="dxa"/>
            <w:vMerge w:val="continue"/>
            <w:shd w:val="clear" w:color="auto" w:fill="auto"/>
            <w:tcMar>
              <w:top w:w="10" w:type="dxa"/>
              <w:left w:w="10" w:type="dxa"/>
              <w:right w:w="10" w:type="dxa"/>
            </w:tcMar>
            <w:vAlign w:val="center"/>
          </w:tcPr>
          <w:p>
            <w:pPr>
              <w:pStyle w:val="2"/>
              <w:rPr>
                <w:sz w:val="21"/>
                <w:szCs w:val="21"/>
              </w:rPr>
            </w:pPr>
          </w:p>
        </w:tc>
        <w:tc>
          <w:tcPr>
            <w:tcW w:w="3270" w:type="dxa"/>
            <w:vMerge w:val="continue"/>
            <w:shd w:val="clear" w:color="auto" w:fill="auto"/>
            <w:tcMar>
              <w:top w:w="10" w:type="dxa"/>
              <w:left w:w="10" w:type="dxa"/>
              <w:right w:w="10" w:type="dxa"/>
            </w:tcMar>
            <w:vAlign w:val="center"/>
          </w:tcPr>
          <w:p>
            <w:pPr>
              <w:pStyle w:val="2"/>
              <w:rPr>
                <w:sz w:val="21"/>
                <w:szCs w:val="21"/>
              </w:rPr>
            </w:pPr>
          </w:p>
        </w:tc>
      </w:tr>
      <w:tr>
        <w:tblPrEx>
          <w:tblBorders>
            <w:top w:val="single" w:color="000000" w:sz="12" w:space="0"/>
            <w:left w:val="single" w:color="000000" w:sz="12" w:space="0"/>
            <w:bottom w:val="single" w:color="000000" w:sz="12" w:space="0"/>
            <w:right w:val="single" w:color="000000" w:sz="12" w:space="0"/>
            <w:insideH w:val="single" w:color="auto" w:sz="4" w:space="0"/>
            <w:insideV w:val="single" w:color="auto" w:sz="4" w:space="0"/>
          </w:tblBorders>
          <w:tblCellMar>
            <w:top w:w="0" w:type="dxa"/>
            <w:left w:w="0" w:type="dxa"/>
            <w:bottom w:w="0" w:type="dxa"/>
            <w:right w:w="0" w:type="dxa"/>
          </w:tblCellMar>
        </w:tblPrEx>
        <w:trPr>
          <w:trHeight w:val="5790" w:hRule="atLeast"/>
        </w:trPr>
        <w:tc>
          <w:tcPr>
            <w:tcW w:w="990" w:type="dxa"/>
            <w:shd w:val="clear" w:color="auto" w:fill="auto"/>
            <w:tcMar>
              <w:top w:w="10" w:type="dxa"/>
              <w:left w:w="10" w:type="dxa"/>
              <w:right w:w="10" w:type="dxa"/>
            </w:tcMar>
            <w:vAlign w:val="center"/>
          </w:tcPr>
          <w:p>
            <w:pPr>
              <w:pStyle w:val="2"/>
              <w:jc w:val="center"/>
              <w:rPr>
                <w:sz w:val="21"/>
                <w:szCs w:val="21"/>
              </w:rPr>
            </w:pPr>
            <w:r>
              <w:rPr>
                <w:rFonts w:hint="eastAsia"/>
                <w:sz w:val="21"/>
                <w:szCs w:val="21"/>
              </w:rPr>
              <w:t>6</w:t>
            </w:r>
          </w:p>
        </w:tc>
        <w:tc>
          <w:tcPr>
            <w:tcW w:w="1570" w:type="dxa"/>
            <w:shd w:val="clear" w:color="auto" w:fill="auto"/>
            <w:tcMar>
              <w:top w:w="10" w:type="dxa"/>
              <w:left w:w="10" w:type="dxa"/>
              <w:right w:w="10" w:type="dxa"/>
            </w:tcMar>
            <w:vAlign w:val="center"/>
          </w:tcPr>
          <w:p>
            <w:pPr>
              <w:pStyle w:val="2"/>
              <w:jc w:val="center"/>
              <w:rPr>
                <w:sz w:val="21"/>
                <w:szCs w:val="21"/>
              </w:rPr>
            </w:pPr>
            <w:r>
              <w:rPr>
                <w:rFonts w:hint="eastAsia"/>
                <w:sz w:val="21"/>
                <w:szCs w:val="21"/>
              </w:rPr>
              <w:t>耦合电感和理想变压器</w:t>
            </w:r>
          </w:p>
        </w:tc>
        <w:tc>
          <w:tcPr>
            <w:tcW w:w="3490" w:type="dxa"/>
            <w:shd w:val="clear" w:color="auto" w:fill="auto"/>
            <w:tcMar>
              <w:top w:w="10" w:type="dxa"/>
              <w:left w:w="10" w:type="dxa"/>
              <w:right w:w="10" w:type="dxa"/>
            </w:tcMar>
            <w:vAlign w:val="center"/>
          </w:tcPr>
          <w:p>
            <w:pPr>
              <w:pStyle w:val="2"/>
              <w:rPr>
                <w:sz w:val="21"/>
                <w:szCs w:val="21"/>
              </w:rPr>
            </w:pPr>
            <w:r>
              <w:rPr>
                <w:rFonts w:hint="eastAsia"/>
                <w:sz w:val="21"/>
                <w:szCs w:val="21"/>
              </w:rPr>
              <w:t>(1)耦合电感</w:t>
            </w:r>
          </w:p>
          <w:p>
            <w:pPr>
              <w:pStyle w:val="2"/>
              <w:rPr>
                <w:sz w:val="21"/>
                <w:szCs w:val="21"/>
              </w:rPr>
            </w:pPr>
            <w:r>
              <w:rPr>
                <w:rFonts w:hint="eastAsia"/>
                <w:sz w:val="21"/>
                <w:szCs w:val="21"/>
              </w:rPr>
              <w:t>基本原理：根据电磁感应定律，当一个电感器件中通过的电流变化时，会在另一个电感器件中感应出电动势</w:t>
            </w:r>
          </w:p>
          <w:p>
            <w:pPr>
              <w:pStyle w:val="2"/>
              <w:rPr>
                <w:sz w:val="21"/>
                <w:szCs w:val="21"/>
              </w:rPr>
            </w:pPr>
            <w:r>
              <w:rPr>
                <w:rFonts w:hint="eastAsia"/>
                <w:sz w:val="21"/>
                <w:szCs w:val="21"/>
              </w:rPr>
              <w:t>耦合系数：两个线圈之间磁通的共享程度用耦合系数</w:t>
            </w:r>
            <w:r>
              <w:rPr>
                <w:sz w:val="21"/>
                <w:szCs w:val="21"/>
              </w:rPr>
              <w:t>k表示，取值范围为0-1</w:t>
            </w:r>
          </w:p>
          <w:p>
            <w:pPr>
              <w:pStyle w:val="2"/>
              <w:rPr>
                <w:sz w:val="21"/>
                <w:szCs w:val="21"/>
              </w:rPr>
            </w:pPr>
            <w:r>
              <w:rPr>
                <w:rFonts w:hint="eastAsia"/>
                <w:sz w:val="21"/>
                <w:szCs w:val="21"/>
              </w:rPr>
              <w:t>应用场景：共振电路、振荡电路等，通过调整耦合系数</w:t>
            </w:r>
            <w:r>
              <w:rPr>
                <w:sz w:val="21"/>
                <w:szCs w:val="21"/>
              </w:rPr>
              <w:t>k可以改变电路的共振频率或增强电路的振荡效果</w:t>
            </w:r>
          </w:p>
          <w:p>
            <w:pPr>
              <w:pStyle w:val="2"/>
              <w:rPr>
                <w:sz w:val="21"/>
                <w:szCs w:val="21"/>
              </w:rPr>
            </w:pPr>
            <w:r>
              <w:rPr>
                <w:sz w:val="21"/>
                <w:szCs w:val="21"/>
              </w:rPr>
              <w:t>(</w:t>
            </w:r>
            <w:r>
              <w:rPr>
                <w:rFonts w:hint="eastAsia"/>
                <w:sz w:val="21"/>
                <w:szCs w:val="21"/>
              </w:rPr>
              <w:t>2</w:t>
            </w:r>
            <w:r>
              <w:rPr>
                <w:sz w:val="21"/>
                <w:szCs w:val="21"/>
              </w:rPr>
              <w:t>)</w:t>
            </w:r>
            <w:r>
              <w:rPr>
                <w:rFonts w:hint="eastAsia"/>
                <w:sz w:val="21"/>
                <w:szCs w:val="21"/>
              </w:rPr>
              <w:t>理想变压器</w:t>
            </w:r>
          </w:p>
          <w:p>
            <w:pPr>
              <w:pStyle w:val="2"/>
              <w:rPr>
                <w:sz w:val="21"/>
                <w:szCs w:val="21"/>
              </w:rPr>
            </w:pPr>
            <w:r>
              <w:rPr>
                <w:rFonts w:hint="eastAsia"/>
                <w:sz w:val="21"/>
                <w:szCs w:val="21"/>
              </w:rPr>
              <w:t>定义：理想变压器是一个端口的电压与另一个端口的电压成正比，且没有功率损耗的无源二端口网络</w:t>
            </w:r>
          </w:p>
          <w:p>
            <w:pPr>
              <w:pStyle w:val="2"/>
              <w:rPr>
                <w:sz w:val="21"/>
                <w:szCs w:val="21"/>
              </w:rPr>
            </w:pPr>
            <w:r>
              <w:rPr>
                <w:rFonts w:hint="eastAsia"/>
                <w:sz w:val="21"/>
                <w:szCs w:val="21"/>
              </w:rPr>
              <w:t>工作原理：利用磁感应定律，将输入电压和输出电压之间按一定的变比比例转换</w:t>
            </w:r>
          </w:p>
          <w:p>
            <w:pPr>
              <w:pStyle w:val="2"/>
              <w:rPr>
                <w:sz w:val="21"/>
                <w:szCs w:val="21"/>
              </w:rPr>
            </w:pPr>
            <w:r>
              <w:rPr>
                <w:rFonts w:hint="eastAsia"/>
                <w:sz w:val="21"/>
                <w:szCs w:val="21"/>
              </w:rPr>
              <w:t>结构组成：主要由两个线圈绕制在共同的磁芯上组成</w:t>
            </w:r>
          </w:p>
        </w:tc>
        <w:tc>
          <w:tcPr>
            <w:tcW w:w="3270" w:type="dxa"/>
            <w:shd w:val="clear" w:color="auto" w:fill="auto"/>
            <w:tcMar>
              <w:top w:w="10" w:type="dxa"/>
              <w:left w:w="10" w:type="dxa"/>
              <w:right w:w="10" w:type="dxa"/>
            </w:tcMar>
            <w:vAlign w:val="center"/>
          </w:tcPr>
          <w:p>
            <w:pPr>
              <w:pStyle w:val="2"/>
              <w:rPr>
                <w:sz w:val="21"/>
                <w:szCs w:val="21"/>
              </w:rPr>
            </w:pPr>
            <w:r>
              <w:rPr>
                <w:rFonts w:hint="eastAsia"/>
                <w:sz w:val="21"/>
                <w:szCs w:val="21"/>
              </w:rPr>
              <w:t>(1)耦合电感</w:t>
            </w:r>
          </w:p>
          <w:p>
            <w:pPr>
              <w:pStyle w:val="2"/>
              <w:rPr>
                <w:sz w:val="21"/>
                <w:szCs w:val="21"/>
              </w:rPr>
            </w:pPr>
            <w:r>
              <w:rPr>
                <w:rFonts w:hint="eastAsia"/>
                <w:sz w:val="21"/>
                <w:szCs w:val="21"/>
              </w:rPr>
              <w:t>分析方法：分析耦合电感在电路中的工作状态，包括电动势的产生、耦合系数的计算等</w:t>
            </w:r>
          </w:p>
          <w:p>
            <w:pPr>
              <w:pStyle w:val="2"/>
              <w:rPr>
                <w:sz w:val="21"/>
                <w:szCs w:val="21"/>
              </w:rPr>
            </w:pPr>
            <w:r>
              <w:rPr>
                <w:rFonts w:hint="eastAsia"/>
                <w:sz w:val="21"/>
                <w:szCs w:val="21"/>
              </w:rPr>
              <w:t>电路设计：根据实际需求，设计包含耦合电感的电路，如共振电路、振荡电路等</w:t>
            </w:r>
          </w:p>
          <w:p>
            <w:pPr>
              <w:pStyle w:val="2"/>
              <w:rPr>
                <w:sz w:val="21"/>
                <w:szCs w:val="21"/>
              </w:rPr>
            </w:pPr>
            <w:r>
              <w:rPr>
                <w:sz w:val="21"/>
                <w:szCs w:val="21"/>
              </w:rPr>
              <w:t>(</w:t>
            </w:r>
            <w:r>
              <w:rPr>
                <w:rFonts w:hint="eastAsia"/>
                <w:sz w:val="21"/>
                <w:szCs w:val="21"/>
              </w:rPr>
              <w:t>2</w:t>
            </w:r>
            <w:r>
              <w:rPr>
                <w:sz w:val="21"/>
                <w:szCs w:val="21"/>
              </w:rPr>
              <w:t>)</w:t>
            </w:r>
            <w:r>
              <w:rPr>
                <w:rFonts w:hint="eastAsia"/>
                <w:sz w:val="21"/>
                <w:szCs w:val="21"/>
              </w:rPr>
              <w:t>理想变压器</w:t>
            </w:r>
          </w:p>
          <w:p>
            <w:pPr>
              <w:pStyle w:val="2"/>
              <w:rPr>
                <w:sz w:val="21"/>
                <w:szCs w:val="21"/>
              </w:rPr>
            </w:pPr>
            <w:r>
              <w:rPr>
                <w:rFonts w:hint="eastAsia"/>
                <w:sz w:val="21"/>
                <w:szCs w:val="21"/>
              </w:rPr>
              <w:t>参数计算：根据理想变压器的特性，计算其电压变比、电流变比等参数</w:t>
            </w:r>
          </w:p>
          <w:p>
            <w:pPr>
              <w:pStyle w:val="2"/>
              <w:rPr>
                <w:sz w:val="21"/>
                <w:szCs w:val="21"/>
              </w:rPr>
            </w:pPr>
            <w:r>
              <w:rPr>
                <w:rFonts w:hint="eastAsia"/>
                <w:sz w:val="21"/>
                <w:szCs w:val="21"/>
              </w:rPr>
              <w:t>电路设计：根据实际需求，设计包含理想变压器的电路，如降压电路、功率传输电路等</w:t>
            </w:r>
          </w:p>
        </w:tc>
      </w:tr>
      <w:tr>
        <w:tblPrEx>
          <w:tblBorders>
            <w:top w:val="single" w:color="000000" w:sz="12" w:space="0"/>
            <w:left w:val="single" w:color="000000" w:sz="12" w:space="0"/>
            <w:bottom w:val="single" w:color="000000" w:sz="12" w:space="0"/>
            <w:right w:val="single" w:color="000000" w:sz="12" w:space="0"/>
            <w:insideH w:val="single" w:color="auto" w:sz="4" w:space="0"/>
            <w:insideV w:val="single" w:color="auto" w:sz="4" w:space="0"/>
          </w:tblBorders>
          <w:tblCellMar>
            <w:top w:w="0" w:type="dxa"/>
            <w:left w:w="0" w:type="dxa"/>
            <w:bottom w:w="0" w:type="dxa"/>
            <w:right w:w="0" w:type="dxa"/>
          </w:tblCellMar>
        </w:tblPrEx>
        <w:trPr>
          <w:trHeight w:val="4943" w:hRule="atLeast"/>
        </w:trPr>
        <w:tc>
          <w:tcPr>
            <w:tcW w:w="990" w:type="dxa"/>
            <w:shd w:val="clear" w:color="auto" w:fill="auto"/>
            <w:tcMar>
              <w:top w:w="10" w:type="dxa"/>
              <w:left w:w="10" w:type="dxa"/>
              <w:right w:w="10" w:type="dxa"/>
            </w:tcMar>
            <w:vAlign w:val="center"/>
          </w:tcPr>
          <w:p>
            <w:pPr>
              <w:pStyle w:val="2"/>
              <w:jc w:val="center"/>
              <w:rPr>
                <w:sz w:val="21"/>
                <w:szCs w:val="21"/>
              </w:rPr>
            </w:pPr>
            <w:r>
              <w:rPr>
                <w:rFonts w:hint="eastAsia"/>
                <w:sz w:val="21"/>
                <w:szCs w:val="21"/>
              </w:rPr>
              <w:t>7</w:t>
            </w:r>
          </w:p>
        </w:tc>
        <w:tc>
          <w:tcPr>
            <w:tcW w:w="1570" w:type="dxa"/>
            <w:shd w:val="clear" w:color="auto" w:fill="auto"/>
            <w:tcMar>
              <w:top w:w="10" w:type="dxa"/>
              <w:left w:w="10" w:type="dxa"/>
              <w:right w:w="10" w:type="dxa"/>
            </w:tcMar>
            <w:vAlign w:val="center"/>
          </w:tcPr>
          <w:p>
            <w:pPr>
              <w:pStyle w:val="2"/>
              <w:jc w:val="center"/>
              <w:rPr>
                <w:sz w:val="21"/>
                <w:szCs w:val="21"/>
              </w:rPr>
            </w:pPr>
            <w:r>
              <w:rPr>
                <w:rFonts w:hint="eastAsia"/>
                <w:sz w:val="21"/>
                <w:szCs w:val="21"/>
              </w:rPr>
              <w:t>磁路与变压器</w:t>
            </w:r>
          </w:p>
        </w:tc>
        <w:tc>
          <w:tcPr>
            <w:tcW w:w="3490" w:type="dxa"/>
            <w:shd w:val="clear" w:color="auto" w:fill="auto"/>
            <w:tcMar>
              <w:top w:w="10" w:type="dxa"/>
              <w:left w:w="10" w:type="dxa"/>
              <w:right w:w="10" w:type="dxa"/>
            </w:tcMar>
            <w:vAlign w:val="center"/>
          </w:tcPr>
          <w:p>
            <w:pPr>
              <w:pStyle w:val="2"/>
              <w:rPr>
                <w:sz w:val="21"/>
                <w:szCs w:val="21"/>
              </w:rPr>
            </w:pPr>
            <w:r>
              <w:rPr>
                <w:sz w:val="21"/>
                <w:szCs w:val="21"/>
              </w:rPr>
              <w:t>(</w:t>
            </w:r>
            <w:r>
              <w:rPr>
                <w:rFonts w:hint="eastAsia"/>
                <w:sz w:val="21"/>
                <w:szCs w:val="21"/>
              </w:rPr>
              <w:t>1</w:t>
            </w:r>
            <w:r>
              <w:rPr>
                <w:sz w:val="21"/>
                <w:szCs w:val="21"/>
              </w:rPr>
              <w:t>)</w:t>
            </w:r>
            <w:r>
              <w:rPr>
                <w:rFonts w:hint="eastAsia"/>
                <w:sz w:val="21"/>
                <w:szCs w:val="21"/>
              </w:rPr>
              <w:t>磁路</w:t>
            </w:r>
          </w:p>
          <w:p>
            <w:pPr>
              <w:pStyle w:val="2"/>
              <w:rPr>
                <w:sz w:val="21"/>
                <w:szCs w:val="21"/>
              </w:rPr>
            </w:pPr>
            <w:r>
              <w:rPr>
                <w:rFonts w:hint="eastAsia"/>
                <w:sz w:val="21"/>
                <w:szCs w:val="21"/>
              </w:rPr>
              <w:t>磁路概念：在电机、变压器等铁磁元件中，由铁磁材料制成的铁心构成的磁通闭合路径称为磁路</w:t>
            </w:r>
          </w:p>
          <w:p>
            <w:pPr>
              <w:pStyle w:val="2"/>
              <w:rPr>
                <w:sz w:val="21"/>
                <w:szCs w:val="21"/>
              </w:rPr>
            </w:pPr>
            <w:r>
              <w:rPr>
                <w:rFonts w:hint="eastAsia"/>
                <w:sz w:val="21"/>
                <w:szCs w:val="21"/>
              </w:rPr>
              <w:t>基本物理量：</w:t>
            </w:r>
          </w:p>
          <w:p>
            <w:pPr>
              <w:pStyle w:val="2"/>
              <w:rPr>
                <w:sz w:val="21"/>
                <w:szCs w:val="21"/>
              </w:rPr>
            </w:pPr>
            <w:r>
              <w:rPr>
                <w:rFonts w:hint="eastAsia"/>
                <w:sz w:val="21"/>
                <w:szCs w:val="21"/>
              </w:rPr>
              <w:t>磁感应强度</w:t>
            </w:r>
            <w:r>
              <w:rPr>
                <w:sz w:val="21"/>
                <w:szCs w:val="21"/>
              </w:rPr>
              <w:t>B：表示磁场内某点磁场强弱及方向的物理量，其大小与垂直于磁场方向的单位面积的磁力线数目相关</w:t>
            </w:r>
          </w:p>
          <w:p>
            <w:pPr>
              <w:pStyle w:val="2"/>
              <w:rPr>
                <w:sz w:val="21"/>
                <w:szCs w:val="21"/>
              </w:rPr>
            </w:pPr>
            <w:r>
              <w:rPr>
                <w:rFonts w:hint="eastAsia"/>
                <w:sz w:val="21"/>
                <w:szCs w:val="21"/>
              </w:rPr>
              <w:t>磁通Φ：穿过垂直于磁感应强度</w:t>
            </w:r>
            <w:r>
              <w:rPr>
                <w:sz w:val="21"/>
                <w:szCs w:val="21"/>
              </w:rPr>
              <w:t>B方向的面积S的磁力线总数，单位是韦伯(Wb)</w:t>
            </w:r>
          </w:p>
          <w:p>
            <w:pPr>
              <w:pStyle w:val="2"/>
              <w:rPr>
                <w:sz w:val="21"/>
                <w:szCs w:val="21"/>
              </w:rPr>
            </w:pPr>
            <w:r>
              <w:rPr>
                <w:rFonts w:hint="eastAsia"/>
                <w:sz w:val="21"/>
                <w:szCs w:val="21"/>
              </w:rPr>
              <w:t>磁导率μ：表示物质导磁性能的物理量，单位是亨</w:t>
            </w:r>
            <w:r>
              <w:rPr>
                <w:sz w:val="21"/>
                <w:szCs w:val="21"/>
              </w:rPr>
              <w:t>/米(H/m)</w:t>
            </w:r>
          </w:p>
          <w:p>
            <w:pPr>
              <w:pStyle w:val="2"/>
              <w:rPr>
                <w:sz w:val="21"/>
                <w:szCs w:val="21"/>
              </w:rPr>
            </w:pPr>
            <w:r>
              <w:rPr>
                <w:sz w:val="21"/>
                <w:szCs w:val="21"/>
              </w:rPr>
              <w:t>(</w:t>
            </w:r>
            <w:r>
              <w:rPr>
                <w:rFonts w:hint="eastAsia"/>
                <w:sz w:val="21"/>
                <w:szCs w:val="21"/>
              </w:rPr>
              <w:t>2</w:t>
            </w:r>
            <w:r>
              <w:rPr>
                <w:sz w:val="21"/>
                <w:szCs w:val="21"/>
              </w:rPr>
              <w:t>)</w:t>
            </w:r>
            <w:r>
              <w:rPr>
                <w:rFonts w:hint="eastAsia"/>
                <w:sz w:val="21"/>
                <w:szCs w:val="21"/>
              </w:rPr>
              <w:t>变压器</w:t>
            </w:r>
          </w:p>
          <w:p>
            <w:pPr>
              <w:pStyle w:val="2"/>
              <w:rPr>
                <w:sz w:val="21"/>
                <w:szCs w:val="21"/>
              </w:rPr>
            </w:pPr>
            <w:r>
              <w:rPr>
                <w:rFonts w:hint="eastAsia"/>
                <w:sz w:val="21"/>
                <w:szCs w:val="21"/>
              </w:rPr>
              <w:t>工作原理：基于电磁感应原理，通过输入绕组的交变电流在铁芯中产生交变磁通，从而在输出绕组中感应出电压（或电流）</w:t>
            </w:r>
          </w:p>
          <w:p>
            <w:pPr>
              <w:pStyle w:val="2"/>
              <w:rPr>
                <w:sz w:val="21"/>
                <w:szCs w:val="21"/>
              </w:rPr>
            </w:pPr>
            <w:r>
              <w:rPr>
                <w:rFonts w:hint="eastAsia"/>
                <w:sz w:val="21"/>
                <w:szCs w:val="21"/>
              </w:rPr>
              <w:t>类型：变压器分为单相变压器和三相变压器等，根据用途不同还有特殊变压器如仪用互感器、电流互感器等</w:t>
            </w:r>
          </w:p>
          <w:p>
            <w:pPr>
              <w:pStyle w:val="2"/>
              <w:rPr>
                <w:sz w:val="21"/>
                <w:szCs w:val="21"/>
              </w:rPr>
            </w:pPr>
            <w:r>
              <w:rPr>
                <w:rFonts w:hint="eastAsia"/>
                <w:sz w:val="21"/>
                <w:szCs w:val="21"/>
              </w:rPr>
              <w:t>性能参数：变压器的性能参数包括电压变比、电流变比、阻抗变换等</w:t>
            </w:r>
          </w:p>
        </w:tc>
        <w:tc>
          <w:tcPr>
            <w:tcW w:w="3270" w:type="dxa"/>
            <w:shd w:val="clear" w:color="auto" w:fill="auto"/>
            <w:tcMar>
              <w:top w:w="10" w:type="dxa"/>
              <w:left w:w="10" w:type="dxa"/>
              <w:right w:w="10" w:type="dxa"/>
            </w:tcMar>
            <w:vAlign w:val="center"/>
          </w:tcPr>
          <w:p>
            <w:pPr>
              <w:pStyle w:val="2"/>
              <w:rPr>
                <w:sz w:val="21"/>
                <w:szCs w:val="21"/>
              </w:rPr>
            </w:pPr>
            <w:r>
              <w:rPr>
                <w:rFonts w:hint="eastAsia"/>
                <w:sz w:val="21"/>
                <w:szCs w:val="21"/>
              </w:rPr>
              <w:t>(1)磁路</w:t>
            </w:r>
          </w:p>
          <w:p>
            <w:pPr>
              <w:pStyle w:val="2"/>
              <w:rPr>
                <w:sz w:val="21"/>
                <w:szCs w:val="21"/>
              </w:rPr>
            </w:pPr>
            <w:r>
              <w:rPr>
                <w:rFonts w:hint="eastAsia"/>
                <w:sz w:val="21"/>
                <w:szCs w:val="21"/>
              </w:rPr>
              <w:t>分析方法：分析磁路中的磁场分布、磁通大小和方向等物理量。</w:t>
            </w:r>
          </w:p>
          <w:p>
            <w:pPr>
              <w:pStyle w:val="2"/>
              <w:rPr>
                <w:sz w:val="21"/>
                <w:szCs w:val="21"/>
              </w:rPr>
            </w:pPr>
            <w:r>
              <w:rPr>
                <w:rFonts w:hint="eastAsia"/>
                <w:sz w:val="21"/>
                <w:szCs w:val="21"/>
              </w:rPr>
              <w:t>磁路设计：根据实际需求，设计合理的磁路结构，以提高电机或变压器的效率和性能</w:t>
            </w:r>
          </w:p>
          <w:p>
            <w:pPr>
              <w:pStyle w:val="2"/>
              <w:rPr>
                <w:sz w:val="21"/>
                <w:szCs w:val="21"/>
              </w:rPr>
            </w:pPr>
            <w:r>
              <w:rPr>
                <w:sz w:val="21"/>
                <w:szCs w:val="21"/>
              </w:rPr>
              <w:t>(</w:t>
            </w:r>
            <w:r>
              <w:rPr>
                <w:rFonts w:hint="eastAsia"/>
                <w:sz w:val="21"/>
                <w:szCs w:val="21"/>
              </w:rPr>
              <w:t>2</w:t>
            </w:r>
            <w:r>
              <w:rPr>
                <w:sz w:val="21"/>
                <w:szCs w:val="21"/>
              </w:rPr>
              <w:t>)</w:t>
            </w:r>
            <w:r>
              <w:rPr>
                <w:rFonts w:hint="eastAsia"/>
                <w:sz w:val="21"/>
                <w:szCs w:val="21"/>
              </w:rPr>
              <w:t>变压器</w:t>
            </w:r>
          </w:p>
          <w:p>
            <w:pPr>
              <w:pStyle w:val="2"/>
              <w:rPr>
                <w:sz w:val="21"/>
                <w:szCs w:val="21"/>
              </w:rPr>
            </w:pPr>
            <w:r>
              <w:rPr>
                <w:rFonts w:hint="eastAsia"/>
                <w:sz w:val="21"/>
                <w:szCs w:val="21"/>
              </w:rPr>
              <w:t>参数计算：计算变压器的电压变比、电流变比等参数，以满足特定的工作需求</w:t>
            </w:r>
          </w:p>
          <w:p>
            <w:pPr>
              <w:pStyle w:val="2"/>
              <w:rPr>
                <w:sz w:val="21"/>
                <w:szCs w:val="21"/>
              </w:rPr>
            </w:pPr>
            <w:r>
              <w:rPr>
                <w:rFonts w:hint="eastAsia"/>
                <w:sz w:val="21"/>
                <w:szCs w:val="21"/>
              </w:rPr>
              <w:t>选型与应用：根据电路的工作条件和要求，选择合适的变压器类型，并进行正确的安装和使用</w:t>
            </w:r>
          </w:p>
          <w:p>
            <w:pPr>
              <w:pStyle w:val="2"/>
              <w:rPr>
                <w:sz w:val="21"/>
                <w:szCs w:val="21"/>
              </w:rPr>
            </w:pPr>
            <w:r>
              <w:rPr>
                <w:rFonts w:hint="eastAsia"/>
                <w:sz w:val="21"/>
                <w:szCs w:val="21"/>
              </w:rPr>
              <w:t>故障诊断与排除：识别变压器在运行过程中可能出现的故障，并采取相应的措施进行诊断和排除</w:t>
            </w:r>
          </w:p>
        </w:tc>
      </w:tr>
      <w:tr>
        <w:tblPrEx>
          <w:tblBorders>
            <w:top w:val="single" w:color="000000" w:sz="12" w:space="0"/>
            <w:left w:val="single" w:color="000000" w:sz="12" w:space="0"/>
            <w:bottom w:val="single" w:color="000000" w:sz="12" w:space="0"/>
            <w:right w:val="single" w:color="000000" w:sz="12" w:space="0"/>
            <w:insideH w:val="single" w:color="auto" w:sz="4" w:space="0"/>
            <w:insideV w:val="single" w:color="auto" w:sz="4" w:space="0"/>
          </w:tblBorders>
          <w:tblCellMar>
            <w:top w:w="0" w:type="dxa"/>
            <w:left w:w="0" w:type="dxa"/>
            <w:bottom w:w="0" w:type="dxa"/>
            <w:right w:w="0" w:type="dxa"/>
          </w:tblCellMar>
        </w:tblPrEx>
        <w:trPr>
          <w:trHeight w:val="746" w:hRule="atLeast"/>
        </w:trPr>
        <w:tc>
          <w:tcPr>
            <w:tcW w:w="990" w:type="dxa"/>
            <w:shd w:val="clear" w:color="auto" w:fill="auto"/>
            <w:tcMar>
              <w:top w:w="10" w:type="dxa"/>
              <w:left w:w="10" w:type="dxa"/>
              <w:right w:w="10" w:type="dxa"/>
            </w:tcMar>
            <w:vAlign w:val="center"/>
          </w:tcPr>
          <w:p>
            <w:pPr>
              <w:pStyle w:val="2"/>
              <w:jc w:val="center"/>
              <w:rPr>
                <w:sz w:val="21"/>
                <w:szCs w:val="21"/>
              </w:rPr>
            </w:pPr>
            <w:r>
              <w:rPr>
                <w:rFonts w:hint="eastAsia"/>
                <w:sz w:val="21"/>
                <w:szCs w:val="21"/>
              </w:rPr>
              <w:t>8</w:t>
            </w:r>
          </w:p>
        </w:tc>
        <w:tc>
          <w:tcPr>
            <w:tcW w:w="1570" w:type="dxa"/>
            <w:shd w:val="clear" w:color="auto" w:fill="auto"/>
            <w:tcMar>
              <w:top w:w="10" w:type="dxa"/>
              <w:left w:w="10" w:type="dxa"/>
              <w:right w:w="10" w:type="dxa"/>
            </w:tcMar>
            <w:vAlign w:val="center"/>
          </w:tcPr>
          <w:p>
            <w:pPr>
              <w:pStyle w:val="2"/>
              <w:jc w:val="center"/>
              <w:rPr>
                <w:sz w:val="21"/>
                <w:szCs w:val="21"/>
              </w:rPr>
            </w:pPr>
            <w:r>
              <w:rPr>
                <w:rFonts w:hint="eastAsia"/>
                <w:sz w:val="21"/>
                <w:szCs w:val="21"/>
              </w:rPr>
              <w:t>交流电动机</w:t>
            </w:r>
          </w:p>
        </w:tc>
        <w:tc>
          <w:tcPr>
            <w:tcW w:w="3490" w:type="dxa"/>
            <w:shd w:val="clear" w:color="auto" w:fill="auto"/>
            <w:tcMar>
              <w:top w:w="10" w:type="dxa"/>
              <w:left w:w="10" w:type="dxa"/>
              <w:right w:w="10" w:type="dxa"/>
            </w:tcMar>
            <w:vAlign w:val="center"/>
          </w:tcPr>
          <w:p>
            <w:pPr>
              <w:pStyle w:val="2"/>
              <w:rPr>
                <w:sz w:val="21"/>
                <w:szCs w:val="21"/>
              </w:rPr>
            </w:pPr>
            <w:r>
              <w:rPr>
                <w:sz w:val="21"/>
                <w:szCs w:val="21"/>
              </w:rPr>
              <w:t>(1)</w:t>
            </w:r>
            <w:r>
              <w:rPr>
                <w:rFonts w:hint="eastAsia"/>
                <w:sz w:val="21"/>
                <w:szCs w:val="21"/>
              </w:rPr>
              <w:t>交流电动机基本概念：交流电动机是一种将交流电能转换为机械能的设备</w:t>
            </w:r>
          </w:p>
          <w:p>
            <w:pPr>
              <w:pStyle w:val="2"/>
              <w:rPr>
                <w:sz w:val="21"/>
                <w:szCs w:val="21"/>
              </w:rPr>
            </w:pPr>
            <w:r>
              <w:rPr>
                <w:sz w:val="21"/>
                <w:szCs w:val="21"/>
              </w:rPr>
              <w:t>(</w:t>
            </w:r>
            <w:r>
              <w:rPr>
                <w:rFonts w:hint="eastAsia"/>
                <w:sz w:val="21"/>
                <w:szCs w:val="21"/>
              </w:rPr>
              <w:t>2</w:t>
            </w:r>
            <w:r>
              <w:rPr>
                <w:sz w:val="21"/>
                <w:szCs w:val="21"/>
              </w:rPr>
              <w:t>)</w:t>
            </w:r>
            <w:r>
              <w:rPr>
                <w:rFonts w:hint="eastAsia"/>
                <w:sz w:val="21"/>
                <w:szCs w:val="21"/>
              </w:rPr>
              <w:t>组成结构：交流电动机主要由定子（静止部分）和转子（旋转部分）组成，其中定子包含绕组以产生磁场，转子则在磁场中旋转</w:t>
            </w:r>
          </w:p>
          <w:p>
            <w:pPr>
              <w:pStyle w:val="2"/>
              <w:rPr>
                <w:sz w:val="21"/>
                <w:szCs w:val="21"/>
              </w:rPr>
            </w:pPr>
            <w:r>
              <w:rPr>
                <w:sz w:val="21"/>
                <w:szCs w:val="21"/>
              </w:rPr>
              <w:t>(</w:t>
            </w:r>
            <w:r>
              <w:rPr>
                <w:rFonts w:hint="eastAsia"/>
                <w:sz w:val="21"/>
                <w:szCs w:val="21"/>
              </w:rPr>
              <w:t>3</w:t>
            </w:r>
            <w:r>
              <w:rPr>
                <w:sz w:val="21"/>
                <w:szCs w:val="21"/>
              </w:rPr>
              <w:t>)</w:t>
            </w:r>
            <w:r>
              <w:rPr>
                <w:rFonts w:hint="eastAsia"/>
                <w:sz w:val="21"/>
                <w:szCs w:val="21"/>
              </w:rPr>
              <w:t>工作原理：基于电磁感应原理，通过定子绕组产生的旋转磁场与转子中的电流相互作用，使转子旋转</w:t>
            </w:r>
          </w:p>
          <w:p>
            <w:pPr>
              <w:pStyle w:val="2"/>
              <w:rPr>
                <w:sz w:val="21"/>
                <w:szCs w:val="21"/>
              </w:rPr>
            </w:pPr>
            <w:r>
              <w:rPr>
                <w:sz w:val="21"/>
                <w:szCs w:val="21"/>
              </w:rPr>
              <w:t>(</w:t>
            </w:r>
            <w:r>
              <w:rPr>
                <w:rFonts w:hint="eastAsia"/>
                <w:sz w:val="21"/>
                <w:szCs w:val="21"/>
              </w:rPr>
              <w:t>4</w:t>
            </w:r>
            <w:r>
              <w:rPr>
                <w:sz w:val="21"/>
                <w:szCs w:val="21"/>
              </w:rPr>
              <w:t>)</w:t>
            </w:r>
            <w:r>
              <w:rPr>
                <w:rFonts w:hint="eastAsia"/>
                <w:sz w:val="21"/>
                <w:szCs w:val="21"/>
              </w:rPr>
              <w:t>分类：交流电动机分为同步电动机和异步电动机（感应电动机）。同步电动机转速与电源频率严格同步，而异步电动机转速则受负载和电源电压影响</w:t>
            </w:r>
          </w:p>
          <w:p>
            <w:pPr>
              <w:pStyle w:val="2"/>
              <w:rPr>
                <w:sz w:val="21"/>
                <w:szCs w:val="21"/>
              </w:rPr>
            </w:pPr>
            <w:r>
              <w:rPr>
                <w:sz w:val="21"/>
                <w:szCs w:val="21"/>
              </w:rPr>
              <w:t>(</w:t>
            </w:r>
            <w:r>
              <w:rPr>
                <w:rFonts w:hint="eastAsia"/>
                <w:sz w:val="21"/>
                <w:szCs w:val="21"/>
              </w:rPr>
              <w:t>5</w:t>
            </w:r>
            <w:r>
              <w:rPr>
                <w:sz w:val="21"/>
                <w:szCs w:val="21"/>
              </w:rPr>
              <w:t>)</w:t>
            </w:r>
            <w:r>
              <w:rPr>
                <w:rFonts w:hint="eastAsia"/>
                <w:sz w:val="21"/>
                <w:szCs w:val="21"/>
              </w:rPr>
              <w:t>主要参数：</w:t>
            </w:r>
          </w:p>
          <w:p>
            <w:pPr>
              <w:pStyle w:val="2"/>
              <w:rPr>
                <w:sz w:val="21"/>
                <w:szCs w:val="21"/>
              </w:rPr>
            </w:pPr>
            <w:r>
              <w:rPr>
                <w:rFonts w:hint="eastAsia"/>
                <w:sz w:val="21"/>
                <w:szCs w:val="21"/>
              </w:rPr>
              <w:t>额定功率：电动机在额定工作状态下输出的最大功率</w:t>
            </w:r>
          </w:p>
          <w:p>
            <w:pPr>
              <w:pStyle w:val="2"/>
              <w:rPr>
                <w:sz w:val="21"/>
                <w:szCs w:val="21"/>
              </w:rPr>
            </w:pPr>
            <w:r>
              <w:rPr>
                <w:rFonts w:hint="eastAsia"/>
                <w:sz w:val="21"/>
                <w:szCs w:val="21"/>
              </w:rPr>
              <w:t>额定电压：电动机正常工作时所需的电压</w:t>
            </w:r>
          </w:p>
        </w:tc>
        <w:tc>
          <w:tcPr>
            <w:tcW w:w="3270" w:type="dxa"/>
            <w:shd w:val="clear" w:color="auto" w:fill="auto"/>
            <w:tcMar>
              <w:top w:w="10" w:type="dxa"/>
              <w:left w:w="10" w:type="dxa"/>
              <w:right w:w="10" w:type="dxa"/>
            </w:tcMar>
            <w:vAlign w:val="center"/>
          </w:tcPr>
          <w:p>
            <w:pPr>
              <w:pStyle w:val="2"/>
              <w:rPr>
                <w:sz w:val="21"/>
                <w:szCs w:val="21"/>
              </w:rPr>
            </w:pPr>
            <w:r>
              <w:rPr>
                <w:sz w:val="21"/>
                <w:szCs w:val="21"/>
              </w:rPr>
              <w:t>(1)</w:t>
            </w:r>
            <w:r>
              <w:rPr>
                <w:rFonts w:hint="eastAsia"/>
                <w:sz w:val="21"/>
                <w:szCs w:val="21"/>
              </w:rPr>
              <w:t>选择与应用：选择合适的交流电动机类型，如根据负载特性和工作环境选择同步电动机或异步电动机</w:t>
            </w:r>
          </w:p>
          <w:p>
            <w:pPr>
              <w:pStyle w:val="2"/>
              <w:rPr>
                <w:sz w:val="21"/>
                <w:szCs w:val="21"/>
              </w:rPr>
            </w:pPr>
            <w:r>
              <w:rPr>
                <w:sz w:val="21"/>
                <w:szCs w:val="21"/>
              </w:rPr>
              <w:t>(</w:t>
            </w:r>
            <w:r>
              <w:rPr>
                <w:rFonts w:hint="eastAsia"/>
                <w:sz w:val="21"/>
                <w:szCs w:val="21"/>
              </w:rPr>
              <w:t>2</w:t>
            </w:r>
            <w:r>
              <w:rPr>
                <w:sz w:val="21"/>
                <w:szCs w:val="21"/>
              </w:rPr>
              <w:t>)</w:t>
            </w:r>
            <w:r>
              <w:rPr>
                <w:rFonts w:hint="eastAsia"/>
                <w:sz w:val="21"/>
                <w:szCs w:val="21"/>
              </w:rPr>
              <w:t>安装与调试：正确安装交流电动机，并进行必要的调试以确保其正常运行</w:t>
            </w:r>
          </w:p>
          <w:p>
            <w:pPr>
              <w:pStyle w:val="2"/>
              <w:rPr>
                <w:sz w:val="21"/>
                <w:szCs w:val="21"/>
              </w:rPr>
            </w:pPr>
            <w:r>
              <w:rPr>
                <w:sz w:val="21"/>
                <w:szCs w:val="21"/>
              </w:rPr>
              <w:t>(</w:t>
            </w:r>
            <w:r>
              <w:rPr>
                <w:rFonts w:hint="eastAsia"/>
                <w:sz w:val="21"/>
                <w:szCs w:val="21"/>
              </w:rPr>
              <w:t>3</w:t>
            </w:r>
            <w:r>
              <w:rPr>
                <w:sz w:val="21"/>
                <w:szCs w:val="21"/>
              </w:rPr>
              <w:t>)</w:t>
            </w:r>
            <w:r>
              <w:rPr>
                <w:rFonts w:hint="eastAsia"/>
                <w:sz w:val="21"/>
                <w:szCs w:val="21"/>
              </w:rPr>
              <w:t>维护与检修：识别交流电动机的常见故障，如过热、振动、噪声等，并采取相应的措施进行维护和检修</w:t>
            </w:r>
          </w:p>
          <w:p>
            <w:pPr>
              <w:pStyle w:val="2"/>
              <w:rPr>
                <w:sz w:val="21"/>
                <w:szCs w:val="21"/>
              </w:rPr>
            </w:pPr>
            <w:r>
              <w:rPr>
                <w:sz w:val="21"/>
                <w:szCs w:val="21"/>
              </w:rPr>
              <w:t>(</w:t>
            </w:r>
            <w:r>
              <w:rPr>
                <w:rFonts w:hint="eastAsia"/>
                <w:sz w:val="21"/>
                <w:szCs w:val="21"/>
              </w:rPr>
              <w:t>4</w:t>
            </w:r>
            <w:r>
              <w:rPr>
                <w:sz w:val="21"/>
                <w:szCs w:val="21"/>
              </w:rPr>
              <w:t>)</w:t>
            </w:r>
            <w:r>
              <w:rPr>
                <w:rFonts w:hint="eastAsia"/>
                <w:sz w:val="21"/>
                <w:szCs w:val="21"/>
              </w:rPr>
              <w:t>参数测量与计算：使用测量工具测量交流电动机的电压、电流、转速等参数，并进行必要的计算和分析</w:t>
            </w:r>
          </w:p>
          <w:p>
            <w:pPr>
              <w:pStyle w:val="2"/>
              <w:rPr>
                <w:sz w:val="21"/>
                <w:szCs w:val="21"/>
              </w:rPr>
            </w:pPr>
            <w:r>
              <w:rPr>
                <w:sz w:val="21"/>
                <w:szCs w:val="21"/>
              </w:rPr>
              <w:t>(</w:t>
            </w:r>
            <w:r>
              <w:rPr>
                <w:rFonts w:hint="eastAsia"/>
                <w:sz w:val="21"/>
                <w:szCs w:val="21"/>
              </w:rPr>
              <w:t>5</w:t>
            </w:r>
            <w:r>
              <w:rPr>
                <w:sz w:val="21"/>
                <w:szCs w:val="21"/>
              </w:rPr>
              <w:t>)</w:t>
            </w:r>
            <w:r>
              <w:rPr>
                <w:rFonts w:hint="eastAsia"/>
                <w:sz w:val="21"/>
                <w:szCs w:val="21"/>
              </w:rPr>
              <w:t>运行监控：监控交流电动机的运行状态，包括电流、电压、温度等参数的变化，及时发现并处理异常情况</w:t>
            </w:r>
          </w:p>
        </w:tc>
      </w:tr>
      <w:tr>
        <w:tblPrEx>
          <w:tblBorders>
            <w:top w:val="single" w:color="000000" w:sz="12" w:space="0"/>
            <w:left w:val="single" w:color="000000" w:sz="12" w:space="0"/>
            <w:bottom w:val="single" w:color="000000" w:sz="12" w:space="0"/>
            <w:right w:val="single" w:color="000000" w:sz="12" w:space="0"/>
            <w:insideH w:val="single" w:color="auto" w:sz="4" w:space="0"/>
            <w:insideV w:val="single" w:color="auto" w:sz="4" w:space="0"/>
          </w:tblBorders>
          <w:tblCellMar>
            <w:top w:w="0" w:type="dxa"/>
            <w:left w:w="0" w:type="dxa"/>
            <w:bottom w:w="0" w:type="dxa"/>
            <w:right w:w="0" w:type="dxa"/>
          </w:tblCellMar>
        </w:tblPrEx>
        <w:trPr>
          <w:trHeight w:val="616" w:hRule="atLeast"/>
        </w:trPr>
        <w:tc>
          <w:tcPr>
            <w:tcW w:w="990" w:type="dxa"/>
            <w:vMerge w:val="restart"/>
            <w:shd w:val="clear" w:color="auto" w:fill="auto"/>
            <w:tcMar>
              <w:top w:w="10" w:type="dxa"/>
              <w:left w:w="10" w:type="dxa"/>
              <w:right w:w="10" w:type="dxa"/>
            </w:tcMar>
            <w:vAlign w:val="center"/>
          </w:tcPr>
          <w:p>
            <w:pPr>
              <w:pStyle w:val="2"/>
              <w:jc w:val="center"/>
              <w:rPr>
                <w:sz w:val="21"/>
                <w:szCs w:val="21"/>
              </w:rPr>
            </w:pPr>
            <w:r>
              <w:rPr>
                <w:rFonts w:hint="eastAsia"/>
                <w:sz w:val="21"/>
                <w:szCs w:val="21"/>
              </w:rPr>
              <w:t>9</w:t>
            </w:r>
          </w:p>
        </w:tc>
        <w:tc>
          <w:tcPr>
            <w:tcW w:w="1570" w:type="dxa"/>
            <w:vMerge w:val="restart"/>
            <w:shd w:val="clear" w:color="auto" w:fill="auto"/>
            <w:tcMar>
              <w:top w:w="10" w:type="dxa"/>
              <w:left w:w="10" w:type="dxa"/>
              <w:right w:w="10" w:type="dxa"/>
            </w:tcMar>
            <w:vAlign w:val="center"/>
          </w:tcPr>
          <w:p>
            <w:pPr>
              <w:pStyle w:val="2"/>
              <w:jc w:val="center"/>
              <w:rPr>
                <w:sz w:val="21"/>
                <w:szCs w:val="21"/>
              </w:rPr>
            </w:pPr>
            <w:r>
              <w:rPr>
                <w:rFonts w:hint="eastAsia"/>
                <w:sz w:val="21"/>
                <w:szCs w:val="21"/>
              </w:rPr>
              <w:t>可编程控制器及其应用</w:t>
            </w:r>
          </w:p>
        </w:tc>
        <w:tc>
          <w:tcPr>
            <w:tcW w:w="3490" w:type="dxa"/>
            <w:vMerge w:val="restart"/>
            <w:shd w:val="clear" w:color="auto" w:fill="auto"/>
            <w:tcMar>
              <w:top w:w="10" w:type="dxa"/>
              <w:left w:w="10" w:type="dxa"/>
              <w:right w:w="10" w:type="dxa"/>
            </w:tcMar>
            <w:vAlign w:val="center"/>
          </w:tcPr>
          <w:p>
            <w:pPr>
              <w:pStyle w:val="2"/>
              <w:rPr>
                <w:sz w:val="21"/>
                <w:szCs w:val="21"/>
              </w:rPr>
            </w:pPr>
            <w:r>
              <w:rPr>
                <w:sz w:val="21"/>
                <w:szCs w:val="21"/>
              </w:rPr>
              <w:t>(</w:t>
            </w:r>
            <w:r>
              <w:rPr>
                <w:rFonts w:hint="eastAsia"/>
                <w:sz w:val="21"/>
                <w:szCs w:val="21"/>
              </w:rPr>
              <w:t>1</w:t>
            </w:r>
            <w:r>
              <w:rPr>
                <w:sz w:val="21"/>
                <w:szCs w:val="21"/>
              </w:rPr>
              <w:t>)</w:t>
            </w:r>
            <w:r>
              <w:rPr>
                <w:rFonts w:hint="eastAsia"/>
                <w:sz w:val="21"/>
                <w:szCs w:val="21"/>
              </w:rPr>
              <w:t>可编程控制器（</w:t>
            </w:r>
            <w:r>
              <w:rPr>
                <w:sz w:val="21"/>
                <w:szCs w:val="21"/>
              </w:rPr>
              <w:t>PLC）基础</w:t>
            </w:r>
            <w:r>
              <w:rPr>
                <w:rFonts w:hint="eastAsia"/>
                <w:sz w:val="21"/>
                <w:szCs w:val="21"/>
              </w:rPr>
              <w:t>定义：可编程控制器是一种数字运算操作的电子系统，专为在工业环境下应用而设计</w:t>
            </w:r>
          </w:p>
          <w:p>
            <w:pPr>
              <w:pStyle w:val="2"/>
              <w:rPr>
                <w:sz w:val="21"/>
                <w:szCs w:val="21"/>
              </w:rPr>
            </w:pPr>
            <w:r>
              <w:rPr>
                <w:rFonts w:hint="eastAsia"/>
                <w:sz w:val="21"/>
                <w:szCs w:val="21"/>
              </w:rPr>
              <w:t>主要特点：</w:t>
            </w:r>
          </w:p>
          <w:p>
            <w:pPr>
              <w:pStyle w:val="2"/>
              <w:rPr>
                <w:sz w:val="21"/>
                <w:szCs w:val="21"/>
              </w:rPr>
            </w:pPr>
            <w:r>
              <w:rPr>
                <w:rFonts w:hint="eastAsia"/>
                <w:sz w:val="21"/>
                <w:szCs w:val="21"/>
              </w:rPr>
              <w:t>灵活性高：快速修改控制程序以适应不同的生产要求和环境变化。</w:t>
            </w:r>
          </w:p>
          <w:p>
            <w:pPr>
              <w:pStyle w:val="2"/>
              <w:rPr>
                <w:sz w:val="21"/>
                <w:szCs w:val="21"/>
              </w:rPr>
            </w:pPr>
            <w:r>
              <w:rPr>
                <w:rFonts w:hint="eastAsia"/>
                <w:sz w:val="21"/>
                <w:szCs w:val="21"/>
              </w:rPr>
              <w:t>可靠性强：采用实时操作系统和硬件实现，保证控制精度和稳定性</w:t>
            </w:r>
          </w:p>
          <w:p>
            <w:pPr>
              <w:pStyle w:val="2"/>
              <w:rPr>
                <w:sz w:val="21"/>
                <w:szCs w:val="21"/>
              </w:rPr>
            </w:pPr>
            <w:r>
              <w:rPr>
                <w:rFonts w:hint="eastAsia"/>
                <w:sz w:val="21"/>
                <w:szCs w:val="21"/>
              </w:rPr>
              <w:t>扩展性好：可以通过扩展</w:t>
            </w:r>
            <w:r>
              <w:rPr>
                <w:sz w:val="21"/>
                <w:szCs w:val="21"/>
              </w:rPr>
              <w:t>I/O模块、通讯模块等方式，实现对多种不同设备和信号的控制</w:t>
            </w:r>
          </w:p>
          <w:p>
            <w:pPr>
              <w:pStyle w:val="2"/>
              <w:rPr>
                <w:sz w:val="21"/>
                <w:szCs w:val="21"/>
              </w:rPr>
            </w:pPr>
            <w:r>
              <w:rPr>
                <w:rFonts w:hint="eastAsia"/>
                <w:sz w:val="21"/>
                <w:szCs w:val="21"/>
              </w:rPr>
              <w:t>易维护性好：通常采用模块化设计，可以方便地进行部件更换和功能升级</w:t>
            </w:r>
          </w:p>
          <w:p>
            <w:pPr>
              <w:pStyle w:val="2"/>
              <w:rPr>
                <w:sz w:val="21"/>
                <w:szCs w:val="21"/>
              </w:rPr>
            </w:pPr>
            <w:r>
              <w:rPr>
                <w:sz w:val="21"/>
                <w:szCs w:val="21"/>
              </w:rPr>
              <w:t>(</w:t>
            </w:r>
            <w:r>
              <w:rPr>
                <w:rFonts w:hint="eastAsia"/>
                <w:sz w:val="21"/>
                <w:szCs w:val="21"/>
              </w:rPr>
              <w:t>2</w:t>
            </w:r>
            <w:r>
              <w:rPr>
                <w:sz w:val="21"/>
                <w:szCs w:val="21"/>
              </w:rPr>
              <w:t>)</w:t>
            </w:r>
            <w:r>
              <w:rPr>
                <w:rFonts w:hint="eastAsia"/>
                <w:sz w:val="21"/>
                <w:szCs w:val="21"/>
              </w:rPr>
              <w:t>半导体存储器的分类：按其功能可分为随机存取存储器（</w:t>
            </w:r>
            <w:r>
              <w:rPr>
                <w:sz w:val="21"/>
                <w:szCs w:val="21"/>
              </w:rPr>
              <w:t>RAM）和只读存储器（ROM）。RAM包括动态随机存取存储器（DRAM）和静态随机存取存储器（SRAM），ROM主要用于BIOS存储器</w:t>
            </w:r>
          </w:p>
        </w:tc>
        <w:tc>
          <w:tcPr>
            <w:tcW w:w="3270" w:type="dxa"/>
            <w:vMerge w:val="restart"/>
            <w:shd w:val="clear" w:color="auto" w:fill="auto"/>
            <w:tcMar>
              <w:top w:w="10" w:type="dxa"/>
              <w:left w:w="10" w:type="dxa"/>
              <w:right w:w="10" w:type="dxa"/>
            </w:tcMar>
            <w:vAlign w:val="center"/>
          </w:tcPr>
          <w:p>
            <w:pPr>
              <w:pStyle w:val="2"/>
              <w:rPr>
                <w:sz w:val="21"/>
                <w:szCs w:val="21"/>
              </w:rPr>
            </w:pPr>
            <w:r>
              <w:rPr>
                <w:rFonts w:hint="eastAsia"/>
                <w:sz w:val="21"/>
                <w:szCs w:val="21"/>
              </w:rPr>
              <w:t>(1)</w:t>
            </w:r>
            <w:r>
              <w:rPr>
                <w:sz w:val="21"/>
                <w:szCs w:val="21"/>
              </w:rPr>
              <w:t>PLC编程</w:t>
            </w:r>
          </w:p>
          <w:p>
            <w:pPr>
              <w:pStyle w:val="2"/>
              <w:rPr>
                <w:sz w:val="21"/>
                <w:szCs w:val="21"/>
              </w:rPr>
            </w:pPr>
            <w:r>
              <w:rPr>
                <w:rFonts w:hint="eastAsia"/>
                <w:sz w:val="21"/>
                <w:szCs w:val="21"/>
              </w:rPr>
              <w:t>编程方法：使用</w:t>
            </w:r>
            <w:r>
              <w:rPr>
                <w:sz w:val="21"/>
                <w:szCs w:val="21"/>
              </w:rPr>
              <w:t>PLC编程软件进行梯形图、功能块图或结构化文本的编程</w:t>
            </w:r>
          </w:p>
          <w:p>
            <w:pPr>
              <w:pStyle w:val="2"/>
              <w:rPr>
                <w:sz w:val="21"/>
                <w:szCs w:val="21"/>
              </w:rPr>
            </w:pPr>
            <w:r>
              <w:rPr>
                <w:rFonts w:hint="eastAsia"/>
                <w:sz w:val="21"/>
                <w:szCs w:val="21"/>
              </w:rPr>
              <w:t>调试与测试：利用编程软件的调试功能对</w:t>
            </w:r>
            <w:r>
              <w:rPr>
                <w:sz w:val="21"/>
                <w:szCs w:val="21"/>
              </w:rPr>
              <w:t>PLC程序进行调试和测试，确保程序的正确性和可靠性</w:t>
            </w:r>
          </w:p>
          <w:p>
            <w:pPr>
              <w:pStyle w:val="2"/>
              <w:rPr>
                <w:sz w:val="21"/>
                <w:szCs w:val="21"/>
              </w:rPr>
            </w:pPr>
            <w:r>
              <w:rPr>
                <w:sz w:val="21"/>
                <w:szCs w:val="21"/>
              </w:rPr>
              <w:t>(</w:t>
            </w:r>
            <w:r>
              <w:rPr>
                <w:rFonts w:hint="eastAsia"/>
                <w:sz w:val="21"/>
                <w:szCs w:val="21"/>
              </w:rPr>
              <w:t>2</w:t>
            </w:r>
            <w:r>
              <w:rPr>
                <w:sz w:val="21"/>
                <w:szCs w:val="21"/>
              </w:rPr>
              <w:t>)PLC应用</w:t>
            </w:r>
          </w:p>
          <w:p>
            <w:pPr>
              <w:pStyle w:val="2"/>
              <w:rPr>
                <w:sz w:val="21"/>
                <w:szCs w:val="21"/>
              </w:rPr>
            </w:pPr>
            <w:r>
              <w:rPr>
                <w:rFonts w:hint="eastAsia"/>
                <w:sz w:val="21"/>
                <w:szCs w:val="21"/>
              </w:rPr>
              <w:t>系统集成：将不同设备和系统集成到一个统一的</w:t>
            </w:r>
            <w:r>
              <w:rPr>
                <w:sz w:val="21"/>
                <w:szCs w:val="21"/>
              </w:rPr>
              <w:t>PLC控制系统中，实现设备和系统之间的无缝协同工作</w:t>
            </w:r>
          </w:p>
          <w:p>
            <w:pPr>
              <w:pStyle w:val="2"/>
              <w:rPr>
                <w:sz w:val="21"/>
                <w:szCs w:val="21"/>
              </w:rPr>
            </w:pPr>
            <w:r>
              <w:rPr>
                <w:rFonts w:hint="eastAsia"/>
                <w:sz w:val="21"/>
                <w:szCs w:val="21"/>
              </w:rPr>
              <w:t>故障诊断与排除：识别</w:t>
            </w:r>
            <w:r>
              <w:rPr>
                <w:sz w:val="21"/>
                <w:szCs w:val="21"/>
              </w:rPr>
              <w:t>PLC系统可能出现的故障，并采取相应的措施进行诊断和排除</w:t>
            </w:r>
          </w:p>
          <w:p>
            <w:pPr>
              <w:pStyle w:val="2"/>
              <w:rPr>
                <w:sz w:val="21"/>
                <w:szCs w:val="21"/>
              </w:rPr>
            </w:pPr>
            <w:r>
              <w:rPr>
                <w:rFonts w:hint="eastAsia"/>
                <w:sz w:val="21"/>
                <w:szCs w:val="21"/>
              </w:rPr>
              <w:t>维护与优化：对</w:t>
            </w:r>
            <w:r>
              <w:rPr>
                <w:sz w:val="21"/>
                <w:szCs w:val="21"/>
              </w:rPr>
              <w:t>PLC系统进行日常的维护和保养，并根据实际需求对系统进行优化和改进</w:t>
            </w:r>
          </w:p>
        </w:tc>
      </w:tr>
      <w:tr>
        <w:tblPrEx>
          <w:tblBorders>
            <w:top w:val="single" w:color="000000" w:sz="12" w:space="0"/>
            <w:left w:val="single" w:color="000000" w:sz="12" w:space="0"/>
            <w:bottom w:val="single" w:color="000000" w:sz="12" w:space="0"/>
            <w:right w:val="single" w:color="000000" w:sz="12" w:space="0"/>
            <w:insideH w:val="single" w:color="auto" w:sz="4" w:space="0"/>
            <w:insideV w:val="single" w:color="auto" w:sz="4" w:space="0"/>
          </w:tblBorders>
          <w:tblCellMar>
            <w:top w:w="0" w:type="dxa"/>
            <w:left w:w="0" w:type="dxa"/>
            <w:bottom w:w="0" w:type="dxa"/>
            <w:right w:w="0" w:type="dxa"/>
          </w:tblCellMar>
        </w:tblPrEx>
        <w:trPr>
          <w:trHeight w:val="616" w:hRule="atLeast"/>
        </w:trPr>
        <w:tc>
          <w:tcPr>
            <w:tcW w:w="990" w:type="dxa"/>
            <w:vMerge w:val="continue"/>
            <w:shd w:val="clear" w:color="auto" w:fill="auto"/>
            <w:tcMar>
              <w:top w:w="10" w:type="dxa"/>
              <w:left w:w="10" w:type="dxa"/>
              <w:right w:w="10" w:type="dxa"/>
            </w:tcMar>
            <w:vAlign w:val="center"/>
          </w:tcPr>
          <w:p>
            <w:pPr>
              <w:pStyle w:val="2"/>
              <w:jc w:val="center"/>
              <w:rPr>
                <w:sz w:val="21"/>
                <w:szCs w:val="21"/>
              </w:rPr>
            </w:pPr>
          </w:p>
        </w:tc>
        <w:tc>
          <w:tcPr>
            <w:tcW w:w="1570" w:type="dxa"/>
            <w:vMerge w:val="continue"/>
            <w:shd w:val="clear" w:color="auto" w:fill="auto"/>
            <w:tcMar>
              <w:top w:w="10" w:type="dxa"/>
              <w:left w:w="10" w:type="dxa"/>
              <w:right w:w="10" w:type="dxa"/>
            </w:tcMar>
            <w:vAlign w:val="center"/>
          </w:tcPr>
          <w:p>
            <w:pPr>
              <w:pStyle w:val="2"/>
              <w:jc w:val="center"/>
              <w:rPr>
                <w:sz w:val="21"/>
                <w:szCs w:val="21"/>
              </w:rPr>
            </w:pPr>
          </w:p>
        </w:tc>
        <w:tc>
          <w:tcPr>
            <w:tcW w:w="3490" w:type="dxa"/>
            <w:vMerge w:val="continue"/>
            <w:shd w:val="clear" w:color="auto" w:fill="auto"/>
            <w:tcMar>
              <w:top w:w="10" w:type="dxa"/>
              <w:left w:w="10" w:type="dxa"/>
              <w:right w:w="10" w:type="dxa"/>
            </w:tcMar>
            <w:vAlign w:val="center"/>
          </w:tcPr>
          <w:p>
            <w:pPr>
              <w:pStyle w:val="2"/>
              <w:rPr>
                <w:sz w:val="21"/>
                <w:szCs w:val="21"/>
              </w:rPr>
            </w:pPr>
          </w:p>
        </w:tc>
        <w:tc>
          <w:tcPr>
            <w:tcW w:w="3270" w:type="dxa"/>
            <w:vMerge w:val="continue"/>
            <w:shd w:val="clear" w:color="auto" w:fill="auto"/>
            <w:tcMar>
              <w:top w:w="10" w:type="dxa"/>
              <w:left w:w="10" w:type="dxa"/>
              <w:right w:w="10" w:type="dxa"/>
            </w:tcMar>
            <w:vAlign w:val="center"/>
          </w:tcPr>
          <w:p>
            <w:pPr>
              <w:pStyle w:val="2"/>
              <w:rPr>
                <w:sz w:val="21"/>
                <w:szCs w:val="21"/>
              </w:rPr>
            </w:pPr>
          </w:p>
        </w:tc>
      </w:tr>
      <w:tr>
        <w:tblPrEx>
          <w:tblBorders>
            <w:top w:val="single" w:color="000000" w:sz="12" w:space="0"/>
            <w:left w:val="single" w:color="000000" w:sz="12" w:space="0"/>
            <w:bottom w:val="single" w:color="000000" w:sz="12" w:space="0"/>
            <w:right w:val="single" w:color="000000" w:sz="12" w:space="0"/>
            <w:insideH w:val="single" w:color="auto" w:sz="4" w:space="0"/>
            <w:insideV w:val="single" w:color="auto" w:sz="4" w:space="0"/>
          </w:tblBorders>
          <w:tblCellMar>
            <w:top w:w="0" w:type="dxa"/>
            <w:left w:w="0" w:type="dxa"/>
            <w:bottom w:w="0" w:type="dxa"/>
            <w:right w:w="0" w:type="dxa"/>
          </w:tblCellMar>
        </w:tblPrEx>
        <w:trPr>
          <w:trHeight w:val="616" w:hRule="atLeast"/>
        </w:trPr>
        <w:tc>
          <w:tcPr>
            <w:tcW w:w="990" w:type="dxa"/>
            <w:vMerge w:val="continue"/>
            <w:shd w:val="clear" w:color="auto" w:fill="auto"/>
            <w:tcMar>
              <w:top w:w="10" w:type="dxa"/>
              <w:left w:w="10" w:type="dxa"/>
              <w:right w:w="10" w:type="dxa"/>
            </w:tcMar>
            <w:vAlign w:val="center"/>
          </w:tcPr>
          <w:p>
            <w:pPr>
              <w:pStyle w:val="2"/>
            </w:pPr>
          </w:p>
        </w:tc>
        <w:tc>
          <w:tcPr>
            <w:tcW w:w="1570" w:type="dxa"/>
            <w:vMerge w:val="continue"/>
            <w:shd w:val="clear" w:color="auto" w:fill="auto"/>
            <w:tcMar>
              <w:top w:w="10" w:type="dxa"/>
              <w:left w:w="10" w:type="dxa"/>
              <w:right w:w="10" w:type="dxa"/>
            </w:tcMar>
            <w:vAlign w:val="center"/>
          </w:tcPr>
          <w:p>
            <w:pPr>
              <w:pStyle w:val="2"/>
            </w:pPr>
          </w:p>
        </w:tc>
        <w:tc>
          <w:tcPr>
            <w:tcW w:w="3490" w:type="dxa"/>
            <w:vMerge w:val="continue"/>
            <w:shd w:val="clear" w:color="auto" w:fill="auto"/>
            <w:tcMar>
              <w:top w:w="10" w:type="dxa"/>
              <w:left w:w="10" w:type="dxa"/>
              <w:right w:w="10" w:type="dxa"/>
            </w:tcMar>
            <w:vAlign w:val="center"/>
          </w:tcPr>
          <w:p>
            <w:pPr>
              <w:pStyle w:val="2"/>
            </w:pPr>
          </w:p>
        </w:tc>
        <w:tc>
          <w:tcPr>
            <w:tcW w:w="3270" w:type="dxa"/>
            <w:vMerge w:val="continue"/>
            <w:shd w:val="clear" w:color="auto" w:fill="auto"/>
            <w:tcMar>
              <w:top w:w="10" w:type="dxa"/>
              <w:left w:w="10" w:type="dxa"/>
              <w:right w:w="10" w:type="dxa"/>
            </w:tcMar>
            <w:vAlign w:val="center"/>
          </w:tcPr>
          <w:p>
            <w:pPr>
              <w:pStyle w:val="2"/>
            </w:pPr>
          </w:p>
        </w:tc>
      </w:tr>
      <w:tr>
        <w:tblPrEx>
          <w:tblBorders>
            <w:top w:val="single" w:color="000000" w:sz="12" w:space="0"/>
            <w:left w:val="single" w:color="000000" w:sz="12" w:space="0"/>
            <w:bottom w:val="single" w:color="000000" w:sz="12" w:space="0"/>
            <w:right w:val="single" w:color="000000" w:sz="12" w:space="0"/>
            <w:insideH w:val="single" w:color="auto" w:sz="4" w:space="0"/>
            <w:insideV w:val="single" w:color="auto" w:sz="4" w:space="0"/>
          </w:tblBorders>
          <w:tblCellMar>
            <w:top w:w="0" w:type="dxa"/>
            <w:left w:w="0" w:type="dxa"/>
            <w:bottom w:w="0" w:type="dxa"/>
            <w:right w:w="0" w:type="dxa"/>
          </w:tblCellMar>
        </w:tblPrEx>
        <w:trPr>
          <w:trHeight w:val="616" w:hRule="atLeast"/>
        </w:trPr>
        <w:tc>
          <w:tcPr>
            <w:tcW w:w="990" w:type="dxa"/>
            <w:vMerge w:val="continue"/>
            <w:shd w:val="clear" w:color="auto" w:fill="auto"/>
            <w:tcMar>
              <w:top w:w="10" w:type="dxa"/>
              <w:left w:w="10" w:type="dxa"/>
              <w:right w:w="10" w:type="dxa"/>
            </w:tcMar>
            <w:vAlign w:val="center"/>
          </w:tcPr>
          <w:p>
            <w:pPr>
              <w:pStyle w:val="2"/>
            </w:pPr>
          </w:p>
        </w:tc>
        <w:tc>
          <w:tcPr>
            <w:tcW w:w="1570" w:type="dxa"/>
            <w:vMerge w:val="continue"/>
            <w:shd w:val="clear" w:color="auto" w:fill="auto"/>
            <w:tcMar>
              <w:top w:w="10" w:type="dxa"/>
              <w:left w:w="10" w:type="dxa"/>
              <w:right w:w="10" w:type="dxa"/>
            </w:tcMar>
            <w:vAlign w:val="center"/>
          </w:tcPr>
          <w:p>
            <w:pPr>
              <w:pStyle w:val="2"/>
            </w:pPr>
          </w:p>
        </w:tc>
        <w:tc>
          <w:tcPr>
            <w:tcW w:w="3490" w:type="dxa"/>
            <w:vMerge w:val="continue"/>
            <w:shd w:val="clear" w:color="auto" w:fill="auto"/>
            <w:tcMar>
              <w:top w:w="10" w:type="dxa"/>
              <w:left w:w="10" w:type="dxa"/>
              <w:right w:w="10" w:type="dxa"/>
            </w:tcMar>
            <w:vAlign w:val="center"/>
          </w:tcPr>
          <w:p>
            <w:pPr>
              <w:pStyle w:val="2"/>
            </w:pPr>
          </w:p>
        </w:tc>
        <w:tc>
          <w:tcPr>
            <w:tcW w:w="3270" w:type="dxa"/>
            <w:vMerge w:val="continue"/>
            <w:shd w:val="clear" w:color="auto" w:fill="auto"/>
            <w:tcMar>
              <w:top w:w="10" w:type="dxa"/>
              <w:left w:w="10" w:type="dxa"/>
              <w:right w:w="10" w:type="dxa"/>
            </w:tcMar>
            <w:vAlign w:val="center"/>
          </w:tcPr>
          <w:p>
            <w:pPr>
              <w:pStyle w:val="2"/>
            </w:pPr>
          </w:p>
        </w:tc>
      </w:tr>
    </w:tbl>
    <w:p>
      <w:pPr>
        <w:spacing w:after="0" w:line="240" w:lineRule="auto"/>
        <w:ind w:firstLine="342" w:firstLineChars="150"/>
        <w:jc w:val="both"/>
        <w:rPr>
          <w:rFonts w:asciiTheme="minorEastAsia" w:hAnsiTheme="minorEastAsia" w:eastAsiaTheme="minorEastAsia"/>
        </w:rPr>
      </w:pPr>
    </w:p>
    <w:p>
      <w:pPr>
        <w:spacing w:after="0" w:line="240" w:lineRule="auto"/>
        <w:ind w:firstLine="342" w:firstLineChars="150"/>
        <w:jc w:val="both"/>
        <w:rPr>
          <w:rFonts w:asciiTheme="minorEastAsia" w:hAnsiTheme="minorEastAsia" w:eastAsiaTheme="minorEastAsia"/>
        </w:rPr>
      </w:pPr>
      <w:r>
        <w:rPr>
          <w:rFonts w:hint="eastAsia" w:asciiTheme="minorEastAsia" w:hAnsiTheme="minorEastAsia" w:eastAsiaTheme="minorEastAsia"/>
        </w:rPr>
        <w:t>（二）考核方式</w:t>
      </w:r>
    </w:p>
    <w:p>
      <w:pPr>
        <w:spacing w:after="0" w:line="240" w:lineRule="auto"/>
        <w:ind w:firstLine="454"/>
        <w:jc w:val="both"/>
        <w:rPr>
          <w:rFonts w:asciiTheme="minorEastAsia" w:hAnsiTheme="minorEastAsia" w:eastAsiaTheme="minorEastAsia"/>
        </w:rPr>
      </w:pPr>
      <w:r>
        <w:rPr>
          <w:rFonts w:hint="eastAsia" w:asciiTheme="minorEastAsia" w:hAnsiTheme="minorEastAsia" w:eastAsiaTheme="minorEastAsia"/>
        </w:rPr>
        <w:t>本课程采用过程考核、理论考核、技能考核方式进行。</w:t>
      </w:r>
    </w:p>
    <w:p>
      <w:pPr>
        <w:spacing w:after="0" w:line="240" w:lineRule="auto"/>
        <w:ind w:firstLine="454"/>
        <w:jc w:val="both"/>
        <w:rPr>
          <w:rFonts w:asciiTheme="minorEastAsia" w:hAnsiTheme="minorEastAsia" w:eastAsiaTheme="minorEastAsia"/>
        </w:rPr>
      </w:pPr>
      <w:r>
        <w:rPr>
          <w:rFonts w:hint="eastAsia" w:asciiTheme="minorEastAsia" w:hAnsiTheme="minorEastAsia" w:eastAsiaTheme="minorEastAsia"/>
        </w:rPr>
        <w:t>1.过程考核：占课程总评成绩的40%。包括学生到课、课堂交流、实训练习、平时作业、阶段测练、期中考试等环节，由任课教师在课程教学过程中实施与评定；</w:t>
      </w:r>
    </w:p>
    <w:p>
      <w:pPr>
        <w:spacing w:after="0" w:line="240" w:lineRule="auto"/>
        <w:ind w:firstLine="454"/>
        <w:jc w:val="both"/>
        <w:rPr>
          <w:rFonts w:asciiTheme="minorEastAsia" w:hAnsiTheme="minorEastAsia" w:eastAsiaTheme="minorEastAsia"/>
        </w:rPr>
      </w:pPr>
      <w:r>
        <w:rPr>
          <w:rFonts w:hint="eastAsia" w:asciiTheme="minorEastAsia" w:hAnsiTheme="minorEastAsia" w:eastAsiaTheme="minorEastAsia"/>
        </w:rPr>
        <w:t>2.理论考核：占课程总评成绩的20%。由教研室在课程结束时组织实施，或在课程教学过程中分阶段实施；</w:t>
      </w:r>
    </w:p>
    <w:p>
      <w:pPr>
        <w:spacing w:after="0" w:line="240" w:lineRule="auto"/>
        <w:ind w:firstLine="454"/>
        <w:jc w:val="both"/>
        <w:rPr>
          <w:rFonts w:asciiTheme="minorEastAsia" w:hAnsiTheme="minorEastAsia" w:eastAsiaTheme="minorEastAsia"/>
        </w:rPr>
      </w:pPr>
      <w:r>
        <w:rPr>
          <w:rFonts w:hint="eastAsia" w:asciiTheme="minorEastAsia" w:hAnsiTheme="minorEastAsia" w:eastAsiaTheme="minorEastAsia"/>
        </w:rPr>
        <w:t>3.技能考核：占课程总评成绩的40%。由教研室制定技能考核方案，在课程结束或课程教学过程中分阶段，采用分组或个人抽签方式实施。</w:t>
      </w:r>
    </w:p>
    <w:p>
      <w:pPr>
        <w:spacing w:after="0" w:line="240" w:lineRule="auto"/>
        <w:ind w:firstLine="454"/>
        <w:jc w:val="both"/>
        <w:rPr>
          <w:rFonts w:asciiTheme="minorEastAsia" w:hAnsiTheme="minorEastAsia" w:eastAsiaTheme="minorEastAsia"/>
        </w:rPr>
      </w:pPr>
      <w:bookmarkStart w:id="13" w:name="_Toc144476174"/>
      <w:r>
        <w:rPr>
          <w:rFonts w:hint="eastAsia" w:asciiTheme="minorEastAsia" w:hAnsiTheme="minorEastAsia" w:eastAsiaTheme="minorEastAsia"/>
        </w:rPr>
        <w:t>七、实施建议</w:t>
      </w:r>
      <w:bookmarkEnd w:id="13"/>
    </w:p>
    <w:p>
      <w:pPr>
        <w:widowControl/>
        <w:spacing w:after="0" w:line="240" w:lineRule="auto"/>
        <w:ind w:firstLine="454"/>
        <w:jc w:val="both"/>
        <w:rPr>
          <w:rFonts w:cs="宋体" w:asciiTheme="minorEastAsia" w:hAnsiTheme="minorEastAsia" w:eastAsiaTheme="minorEastAsia"/>
          <w:bCs/>
          <w:color w:val="000000"/>
          <w:kern w:val="0"/>
        </w:rPr>
      </w:pPr>
      <w:r>
        <w:rPr>
          <w:rFonts w:hint="eastAsia" w:cs="宋体" w:asciiTheme="minorEastAsia" w:hAnsiTheme="minorEastAsia" w:eastAsiaTheme="minorEastAsia"/>
          <w:bCs/>
          <w:color w:val="000000"/>
          <w:kern w:val="0"/>
        </w:rPr>
        <w:t>（一）教材编写与使用选择</w:t>
      </w:r>
    </w:p>
    <w:p>
      <w:pPr>
        <w:widowControl/>
        <w:spacing w:after="0" w:line="240" w:lineRule="auto"/>
        <w:ind w:firstLine="454"/>
        <w:jc w:val="both"/>
        <w:rPr>
          <w:rFonts w:cs="宋体" w:asciiTheme="minorEastAsia" w:hAnsiTheme="minorEastAsia" w:eastAsiaTheme="minorEastAsia"/>
          <w:bCs/>
          <w:kern w:val="36"/>
        </w:rPr>
      </w:pPr>
      <w:r>
        <w:rPr>
          <w:rFonts w:hint="eastAsia" w:cs="宋体" w:asciiTheme="minorEastAsia" w:hAnsiTheme="minorEastAsia" w:eastAsiaTheme="minorEastAsia"/>
          <w:bCs/>
          <w:kern w:val="36"/>
        </w:rPr>
        <w:t>杨格，石宗银，谢红编. 普通高等教育十四五系列教材 电工技术与应用. 武汉：华中科技大学出版社, 2022.08.原书定价</w:t>
      </w:r>
      <w:r>
        <w:rPr>
          <w:rFonts w:hint="eastAsia" w:cs="宋体" w:asciiTheme="minorEastAsia" w:hAnsiTheme="minorEastAsia" w:eastAsiaTheme="minorEastAsia"/>
          <w:bCs/>
          <w:kern w:val="36"/>
          <w:lang w:val="en-US" w:eastAsia="zh-CN"/>
        </w:rPr>
        <w:t>:</w:t>
      </w:r>
      <w:r>
        <w:rPr>
          <w:rFonts w:hint="eastAsia" w:cs="宋体" w:asciiTheme="minorEastAsia" w:hAnsiTheme="minorEastAsia" w:eastAsiaTheme="minorEastAsia"/>
          <w:bCs/>
          <w:kern w:val="36"/>
        </w:rPr>
        <w:t>58.00</w:t>
      </w:r>
      <w:bookmarkStart w:id="17" w:name="_GoBack"/>
      <w:bookmarkEnd w:id="17"/>
    </w:p>
    <w:p>
      <w:pPr>
        <w:widowControl/>
        <w:spacing w:after="0" w:line="240" w:lineRule="auto"/>
        <w:ind w:firstLine="454"/>
        <w:jc w:val="both"/>
        <w:rPr>
          <w:rFonts w:asciiTheme="minorEastAsia" w:hAnsiTheme="minorEastAsia" w:eastAsiaTheme="minorEastAsia"/>
        </w:rPr>
      </w:pPr>
      <w:r>
        <w:rPr>
          <w:rFonts w:hint="eastAsia" w:asciiTheme="minorEastAsia" w:hAnsiTheme="minorEastAsia" w:eastAsiaTheme="minorEastAsia"/>
        </w:rPr>
        <w:t>（二）教学方法与手段</w:t>
      </w:r>
    </w:p>
    <w:p>
      <w:pPr>
        <w:spacing w:after="0" w:line="240" w:lineRule="auto"/>
        <w:ind w:firstLine="454"/>
        <w:jc w:val="both"/>
        <w:rPr>
          <w:rFonts w:asciiTheme="minorEastAsia" w:hAnsiTheme="minorEastAsia" w:eastAsiaTheme="minorEastAsia"/>
        </w:rPr>
      </w:pPr>
      <w:r>
        <w:rPr>
          <w:rFonts w:hint="eastAsia" w:asciiTheme="minorEastAsia" w:hAnsiTheme="minorEastAsia" w:eastAsiaTheme="minorEastAsia"/>
        </w:rPr>
        <w:t>1.教学方法：</w:t>
      </w:r>
    </w:p>
    <w:p>
      <w:pPr>
        <w:spacing w:after="0" w:line="240" w:lineRule="auto"/>
        <w:ind w:firstLine="454"/>
        <w:jc w:val="both"/>
        <w:rPr>
          <w:rFonts w:asciiTheme="minorEastAsia" w:hAnsiTheme="minorEastAsia" w:eastAsiaTheme="minorEastAsia"/>
        </w:rPr>
      </w:pPr>
      <w:bookmarkStart w:id="14" w:name="_Hlk140358385"/>
      <w:r>
        <w:rPr>
          <w:rFonts w:hint="eastAsia" w:asciiTheme="minorEastAsia" w:hAnsiTheme="minorEastAsia" w:eastAsiaTheme="minorEastAsia"/>
        </w:rPr>
        <w:t>课程根据不同教学内容主要采用以下教学方式。</w:t>
      </w:r>
    </w:p>
    <w:p>
      <w:pPr>
        <w:spacing w:after="0" w:line="240" w:lineRule="auto"/>
        <w:ind w:firstLine="454"/>
        <w:jc w:val="both"/>
        <w:rPr>
          <w:rFonts w:asciiTheme="minorEastAsia" w:hAnsiTheme="minorEastAsia" w:eastAsiaTheme="minorEastAsia"/>
        </w:rPr>
      </w:pPr>
      <w:r>
        <w:rPr>
          <w:rFonts w:hint="eastAsia" w:asciiTheme="minorEastAsia" w:hAnsiTheme="minorEastAsia" w:eastAsiaTheme="minorEastAsia"/>
        </w:rPr>
        <w:t>（1）传递-接受式：教师以讲授方式向学生传递教学内容，强调教师的指导作用，学生可以在课堂上接受大量的理论知识；</w:t>
      </w:r>
    </w:p>
    <w:p>
      <w:pPr>
        <w:spacing w:after="0" w:line="240" w:lineRule="auto"/>
        <w:ind w:firstLine="454"/>
        <w:jc w:val="both"/>
        <w:rPr>
          <w:rFonts w:asciiTheme="minorEastAsia" w:hAnsiTheme="minorEastAsia" w:eastAsiaTheme="minorEastAsia"/>
        </w:rPr>
      </w:pPr>
      <w:r>
        <w:rPr>
          <w:rFonts w:hint="eastAsia" w:asciiTheme="minorEastAsia" w:hAnsiTheme="minorEastAsia" w:eastAsiaTheme="minorEastAsia"/>
        </w:rPr>
        <w:t>（2）问题-探究式：教师抛出课程案例，以问题为线索，学生通过思考、实践、小组讨论等方式探究解决问题的方法，重点培养学生的学习能力和合作精神；</w:t>
      </w:r>
    </w:p>
    <w:p>
      <w:pPr>
        <w:spacing w:after="0" w:line="240" w:lineRule="auto"/>
        <w:ind w:firstLine="454"/>
        <w:jc w:val="both"/>
        <w:rPr>
          <w:rFonts w:asciiTheme="minorEastAsia" w:hAnsiTheme="minorEastAsia" w:eastAsiaTheme="minorEastAsia"/>
        </w:rPr>
      </w:pPr>
      <w:r>
        <w:rPr>
          <w:rFonts w:hint="eastAsia" w:asciiTheme="minorEastAsia" w:hAnsiTheme="minorEastAsia" w:eastAsiaTheme="minorEastAsia"/>
        </w:rPr>
        <w:t>（3）示范-模仿式：采用在实践技能教学上，通过老师的示范，学生观看后动手操作的方式，锻炼学生技能，达到教学目的</w:t>
      </w:r>
      <w:bookmarkEnd w:id="14"/>
      <w:r>
        <w:rPr>
          <w:rFonts w:hint="eastAsia" w:asciiTheme="minorEastAsia" w:hAnsiTheme="minorEastAsia" w:eastAsiaTheme="minorEastAsia"/>
        </w:rPr>
        <w:t>。</w:t>
      </w:r>
    </w:p>
    <w:p>
      <w:pPr>
        <w:spacing w:after="0" w:line="240" w:lineRule="auto"/>
        <w:ind w:firstLine="454"/>
        <w:jc w:val="both"/>
        <w:rPr>
          <w:rFonts w:asciiTheme="minorEastAsia" w:hAnsiTheme="minorEastAsia" w:eastAsiaTheme="minorEastAsia"/>
        </w:rPr>
      </w:pPr>
      <w:r>
        <w:rPr>
          <w:rFonts w:hint="eastAsia" w:asciiTheme="minorEastAsia" w:hAnsiTheme="minorEastAsia" w:eastAsiaTheme="minorEastAsia"/>
        </w:rPr>
        <w:t>2.教学手段：</w:t>
      </w:r>
    </w:p>
    <w:p>
      <w:pPr>
        <w:spacing w:after="0" w:line="240" w:lineRule="auto"/>
        <w:ind w:firstLine="454"/>
        <w:jc w:val="both"/>
        <w:rPr>
          <w:rFonts w:asciiTheme="minorEastAsia" w:hAnsiTheme="minorEastAsia" w:eastAsiaTheme="minorEastAsia"/>
        </w:rPr>
      </w:pPr>
      <w:r>
        <w:rPr>
          <w:rFonts w:hint="eastAsia" w:asciiTheme="minorEastAsia" w:hAnsiTheme="minorEastAsia" w:eastAsiaTheme="minorEastAsia"/>
        </w:rPr>
        <w:t>本课程根据不同教学内容采用课堂多媒体教学、线上网络教学、实训室教学等多种教学手段。</w:t>
      </w:r>
    </w:p>
    <w:p>
      <w:pPr>
        <w:spacing w:after="0" w:line="240" w:lineRule="auto"/>
        <w:ind w:firstLine="454"/>
        <w:jc w:val="both"/>
        <w:rPr>
          <w:rFonts w:asciiTheme="minorEastAsia" w:hAnsiTheme="minorEastAsia" w:eastAsiaTheme="minorEastAsia"/>
        </w:rPr>
      </w:pPr>
      <w:r>
        <w:rPr>
          <w:rFonts w:hint="eastAsia" w:asciiTheme="minorEastAsia" w:hAnsiTheme="minorEastAsia" w:eastAsiaTheme="minorEastAsia"/>
        </w:rPr>
        <w:t>（三）课程资源开发与利用</w:t>
      </w:r>
    </w:p>
    <w:p>
      <w:pPr>
        <w:spacing w:after="0" w:line="240" w:lineRule="auto"/>
        <w:ind w:firstLine="454"/>
        <w:jc w:val="both"/>
        <w:rPr>
          <w:rFonts w:asciiTheme="minorEastAsia" w:hAnsiTheme="minorEastAsia" w:eastAsiaTheme="minorEastAsia"/>
        </w:rPr>
      </w:pPr>
      <w:r>
        <w:rPr>
          <w:rFonts w:hint="eastAsia" w:asciiTheme="minorEastAsia" w:hAnsiTheme="minorEastAsia" w:eastAsiaTheme="minorEastAsia"/>
        </w:rPr>
        <w:t>通过浏览网络精品课程，更有针对性地学习自己感兴趣的内容。</w:t>
      </w:r>
    </w:p>
    <w:p>
      <w:pPr>
        <w:keepNext w:val="0"/>
        <w:keepLines w:val="0"/>
        <w:pageBreakBefore w:val="0"/>
        <w:widowControl w:val="0"/>
        <w:kinsoku/>
        <w:wordWrap/>
        <w:overflowPunct/>
        <w:topLinePunct w:val="0"/>
        <w:autoSpaceDE/>
        <w:autoSpaceDN/>
        <w:bidi w:val="0"/>
        <w:adjustRightInd/>
        <w:snapToGrid/>
        <w:spacing w:after="0" w:line="240" w:lineRule="auto"/>
        <w:ind w:left="0" w:leftChars="0" w:firstLine="456" w:firstLineChars="200"/>
        <w:jc w:val="left"/>
        <w:textAlignment w:val="auto"/>
        <w:rPr>
          <w:rFonts w:hint="eastAsia" w:ascii="宋体" w:hAnsi="宋体" w:eastAsia="宋体" w:cs="宋体"/>
          <w:sz w:val="24"/>
          <w:szCs w:val="24"/>
        </w:rPr>
      </w:pPr>
      <w:bookmarkStart w:id="15" w:name="_Toc144476175"/>
      <w:r>
        <w:rPr>
          <w:rFonts w:hint="eastAsia" w:ascii="宋体" w:hAnsi="宋体" w:eastAsia="宋体" w:cs="宋体"/>
          <w:sz w:val="24"/>
          <w:szCs w:val="24"/>
        </w:rPr>
        <w:t xml:space="preserve">1.中国大学 MOOC：电工技术   </w:t>
      </w:r>
      <w:bookmarkStart w:id="16" w:name="_Hlk166354736"/>
      <w:r>
        <w:rPr>
          <w:rFonts w:hint="eastAsia" w:ascii="宋体" w:hAnsi="宋体" w:eastAsia="宋体" w:cs="宋体"/>
          <w:sz w:val="24"/>
          <w:szCs w:val="24"/>
        </w:rPr>
        <w:t>国家精品</w:t>
      </w:r>
      <w:bookmarkEnd w:id="16"/>
    </w:p>
    <w:p>
      <w:pPr>
        <w:keepNext w:val="0"/>
        <w:keepLines w:val="0"/>
        <w:pageBreakBefore w:val="0"/>
        <w:widowControl w:val="0"/>
        <w:kinsoku/>
        <w:wordWrap/>
        <w:overflowPunct/>
        <w:topLinePunct w:val="0"/>
        <w:autoSpaceDE/>
        <w:autoSpaceDN/>
        <w:bidi w:val="0"/>
        <w:adjustRightInd/>
        <w:snapToGrid/>
        <w:spacing w:after="0" w:line="240" w:lineRule="auto"/>
        <w:ind w:left="0" w:leftChars="0" w:firstLine="456"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https://www.icourse163.org/course/SZPT-1002693021</w:t>
      </w:r>
    </w:p>
    <w:p>
      <w:pPr>
        <w:keepNext w:val="0"/>
        <w:keepLines w:val="0"/>
        <w:pageBreakBefore w:val="0"/>
        <w:widowControl w:val="0"/>
        <w:kinsoku/>
        <w:wordWrap/>
        <w:overflowPunct/>
        <w:topLinePunct w:val="0"/>
        <w:autoSpaceDE/>
        <w:autoSpaceDN/>
        <w:bidi w:val="0"/>
        <w:adjustRightInd/>
        <w:snapToGrid/>
        <w:spacing w:after="0" w:line="240" w:lineRule="auto"/>
        <w:ind w:left="0" w:leftChars="0" w:firstLine="456"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2.中国大学 MOOC：数字电工技术   国家精品</w:t>
      </w:r>
    </w:p>
    <w:p>
      <w:pPr>
        <w:keepNext w:val="0"/>
        <w:keepLines w:val="0"/>
        <w:pageBreakBefore w:val="0"/>
        <w:widowControl w:val="0"/>
        <w:kinsoku/>
        <w:wordWrap/>
        <w:overflowPunct/>
        <w:topLinePunct w:val="0"/>
        <w:autoSpaceDE/>
        <w:autoSpaceDN/>
        <w:bidi w:val="0"/>
        <w:adjustRightInd/>
        <w:snapToGrid/>
        <w:spacing w:after="0" w:line="240" w:lineRule="auto"/>
        <w:ind w:left="0" w:leftChars="0" w:firstLine="456"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https://www.icourse163.org/course/CSU-1001907006</w:t>
      </w:r>
    </w:p>
    <w:p>
      <w:pPr>
        <w:keepNext w:val="0"/>
        <w:keepLines w:val="0"/>
        <w:pageBreakBefore w:val="0"/>
        <w:widowControl w:val="0"/>
        <w:kinsoku/>
        <w:wordWrap/>
        <w:overflowPunct/>
        <w:topLinePunct w:val="0"/>
        <w:autoSpaceDE/>
        <w:autoSpaceDN/>
        <w:bidi w:val="0"/>
        <w:adjustRightInd/>
        <w:snapToGrid/>
        <w:spacing w:after="0" w:line="240" w:lineRule="auto"/>
        <w:ind w:left="0" w:leftChars="0" w:firstLine="456"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3.中国大学 MOOC：电工技术基础与技能</w:t>
      </w:r>
    </w:p>
    <w:p>
      <w:pPr>
        <w:keepNext w:val="0"/>
        <w:keepLines w:val="0"/>
        <w:pageBreakBefore w:val="0"/>
        <w:widowControl w:val="0"/>
        <w:kinsoku/>
        <w:wordWrap/>
        <w:overflowPunct/>
        <w:topLinePunct w:val="0"/>
        <w:autoSpaceDE/>
        <w:autoSpaceDN/>
        <w:bidi w:val="0"/>
        <w:adjustRightInd/>
        <w:snapToGrid/>
        <w:spacing w:after="0" w:line="240" w:lineRule="auto"/>
        <w:ind w:left="0" w:leftChars="0" w:firstLine="456"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https://www.icourse163.org/course/HEPSVE-386003</w:t>
      </w:r>
    </w:p>
    <w:p>
      <w:pPr>
        <w:keepNext w:val="0"/>
        <w:keepLines w:val="0"/>
        <w:pageBreakBefore w:val="0"/>
        <w:widowControl w:val="0"/>
        <w:kinsoku/>
        <w:wordWrap/>
        <w:overflowPunct/>
        <w:topLinePunct w:val="0"/>
        <w:autoSpaceDE/>
        <w:autoSpaceDN/>
        <w:bidi w:val="0"/>
        <w:adjustRightInd/>
        <w:snapToGrid/>
        <w:spacing w:after="0" w:line="240" w:lineRule="auto"/>
        <w:ind w:left="0" w:leftChars="0" w:firstLine="456"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4.中国大学 MOOC：电力电工技术    国家精品</w:t>
      </w:r>
    </w:p>
    <w:p>
      <w:pPr>
        <w:keepNext w:val="0"/>
        <w:keepLines w:val="0"/>
        <w:pageBreakBefore w:val="0"/>
        <w:widowControl w:val="0"/>
        <w:kinsoku/>
        <w:wordWrap/>
        <w:overflowPunct/>
        <w:topLinePunct w:val="0"/>
        <w:autoSpaceDE/>
        <w:autoSpaceDN/>
        <w:bidi w:val="0"/>
        <w:adjustRightInd/>
        <w:snapToGrid/>
        <w:spacing w:after="0" w:line="240" w:lineRule="auto"/>
        <w:ind w:left="0" w:leftChars="0" w:firstLine="456" w:firstLineChars="200"/>
        <w:jc w:val="left"/>
        <w:textAlignment w:val="auto"/>
        <w:rPr>
          <w:rFonts w:hint="eastAsia" w:ascii="宋体" w:hAnsi="宋体" w:eastAsia="宋体" w:cs="宋体"/>
          <w:sz w:val="24"/>
          <w:szCs w:val="24"/>
        </w:rPr>
      </w:pPr>
      <w:r>
        <w:rPr>
          <w:rFonts w:hint="eastAsia" w:ascii="宋体" w:hAnsi="宋体" w:eastAsia="宋体" w:cs="宋体"/>
          <w:color w:val="auto"/>
          <w:sz w:val="24"/>
          <w:szCs w:val="24"/>
          <w:u w:val="none"/>
        </w:rPr>
        <w:t>https://www.icourse163.org/course/ZJUT-1205807831</w:t>
      </w:r>
    </w:p>
    <w:p>
      <w:pPr>
        <w:keepNext w:val="0"/>
        <w:keepLines w:val="0"/>
        <w:pageBreakBefore w:val="0"/>
        <w:widowControl w:val="0"/>
        <w:numPr>
          <w:ilvl w:val="0"/>
          <w:numId w:val="0"/>
        </w:numPr>
        <w:kinsoku/>
        <w:wordWrap/>
        <w:overflowPunct/>
        <w:topLinePunct w:val="0"/>
        <w:autoSpaceDE/>
        <w:autoSpaceDN/>
        <w:bidi w:val="0"/>
        <w:adjustRightInd/>
        <w:snapToGrid/>
        <w:spacing w:after="0" w:line="240" w:lineRule="auto"/>
        <w:ind w:leftChars="200"/>
        <w:jc w:val="left"/>
        <w:textAlignment w:val="auto"/>
        <w:rPr>
          <w:rFonts w:hint="eastAsia" w:ascii="宋体" w:hAnsi="宋体" w:eastAsia="宋体" w:cs="宋体"/>
          <w:sz w:val="24"/>
          <w:szCs w:val="24"/>
          <w:lang w:val="en-US" w:eastAsia="zh-CN"/>
        </w:rPr>
      </w:pPr>
      <w:r>
        <w:rPr>
          <w:rFonts w:hint="eastAsia" w:cs="宋体"/>
          <w:sz w:val="24"/>
          <w:szCs w:val="24"/>
          <w:lang w:val="en-US" w:eastAsia="zh-CN"/>
        </w:rPr>
        <w:t>5.</w:t>
      </w:r>
      <w:r>
        <w:rPr>
          <w:rFonts w:hint="eastAsia" w:ascii="宋体" w:hAnsi="宋体" w:eastAsia="宋体" w:cs="宋体"/>
          <w:sz w:val="24"/>
          <w:szCs w:val="24"/>
          <w:lang w:val="en-US" w:eastAsia="zh-CN"/>
        </w:rPr>
        <w:t>智慧树：电工技术</w:t>
      </w:r>
    </w:p>
    <w:p>
      <w:pPr>
        <w:keepNext w:val="0"/>
        <w:keepLines w:val="0"/>
        <w:pageBreakBefore w:val="0"/>
        <w:widowControl w:val="0"/>
        <w:numPr>
          <w:ilvl w:val="0"/>
          <w:numId w:val="0"/>
        </w:numPr>
        <w:kinsoku/>
        <w:wordWrap/>
        <w:overflowPunct/>
        <w:topLinePunct w:val="0"/>
        <w:autoSpaceDE/>
        <w:autoSpaceDN/>
        <w:bidi w:val="0"/>
        <w:adjustRightInd/>
        <w:snapToGrid/>
        <w:spacing w:after="0" w:line="240" w:lineRule="auto"/>
        <w:ind w:leftChars="200"/>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https://coursehome.zhihuishu.com/courseHome/1000012297/229018/</w:t>
      </w:r>
    </w:p>
    <w:p>
      <w:pPr>
        <w:spacing w:after="0" w:line="240" w:lineRule="auto"/>
        <w:ind w:firstLine="454"/>
        <w:rPr>
          <w:rFonts w:asciiTheme="minorEastAsia" w:hAnsiTheme="minorEastAsia" w:eastAsiaTheme="minorEastAsia"/>
        </w:rPr>
      </w:pPr>
      <w:r>
        <w:rPr>
          <w:rFonts w:hint="eastAsia" w:asciiTheme="minorEastAsia" w:hAnsiTheme="minorEastAsia" w:eastAsiaTheme="minorEastAsia"/>
        </w:rPr>
        <w:t>八、编制说明</w:t>
      </w:r>
      <w:bookmarkEnd w:id="15"/>
    </w:p>
    <w:p>
      <w:pPr>
        <w:spacing w:after="0" w:line="240" w:lineRule="auto"/>
        <w:ind w:firstLine="454"/>
        <w:jc w:val="both"/>
        <w:rPr>
          <w:rFonts w:asciiTheme="minorEastAsia" w:hAnsiTheme="minorEastAsia" w:eastAsiaTheme="minorEastAsia"/>
        </w:rPr>
      </w:pPr>
      <w:r>
        <w:rPr>
          <w:rFonts w:hint="eastAsia" w:asciiTheme="minorEastAsia" w:hAnsiTheme="minorEastAsia" w:eastAsiaTheme="minorEastAsia"/>
        </w:rPr>
        <w:t>编写人：吴增抱  讲师  赣西科技职业学院应急管理与艺术设计学院</w:t>
      </w:r>
    </w:p>
    <w:p>
      <w:pPr>
        <w:spacing w:after="0" w:line="240" w:lineRule="auto"/>
        <w:ind w:firstLine="454"/>
        <w:jc w:val="both"/>
        <w:rPr>
          <w:rFonts w:asciiTheme="minorEastAsia" w:hAnsiTheme="minorEastAsia" w:eastAsiaTheme="minorEastAsia"/>
        </w:rPr>
      </w:pPr>
      <w:r>
        <w:rPr>
          <w:rFonts w:hint="eastAsia" w:asciiTheme="minorEastAsia" w:hAnsiTheme="minorEastAsia" w:eastAsiaTheme="minorEastAsia"/>
        </w:rPr>
        <w:t>审核人：李良松  教授  赣西科技职业学院应急管理与艺术设计学院</w:t>
      </w:r>
    </w:p>
    <w:p>
      <w:pPr>
        <w:spacing w:after="0" w:line="240" w:lineRule="auto"/>
        <w:ind w:firstLine="454"/>
        <w:jc w:val="both"/>
        <w:rPr>
          <w:rFonts w:asciiTheme="minorEastAsia" w:hAnsiTheme="minorEastAsia" w:eastAsiaTheme="minorEastAsia"/>
          <w:sz w:val="28"/>
          <w:szCs w:val="28"/>
        </w:rPr>
      </w:pPr>
      <w:r>
        <w:rPr>
          <w:rFonts w:hint="eastAsia" w:asciiTheme="minorEastAsia" w:hAnsiTheme="minorEastAsia" w:eastAsiaTheme="minorEastAsia"/>
        </w:rPr>
        <w:t>执行日：本标准从2024年9月起执行</w:t>
      </w:r>
      <w:r>
        <w:rPr>
          <w:rFonts w:hint="eastAsia" w:asciiTheme="minorEastAsia" w:hAnsiTheme="minorEastAsia" w:eastAsiaTheme="minorEastAsia"/>
          <w:sz w:val="28"/>
          <w:szCs w:val="28"/>
        </w:rPr>
        <w:t>。</w:t>
      </w:r>
    </w:p>
    <w:sectPr>
      <w:headerReference r:id="rId7" w:type="first"/>
      <w:footerReference r:id="rId10" w:type="first"/>
      <w:headerReference r:id="rId5" w:type="default"/>
      <w:footerReference r:id="rId8" w:type="default"/>
      <w:headerReference r:id="rId6" w:type="even"/>
      <w:footerReference r:id="rId9" w:type="even"/>
      <w:pgSz w:w="11906" w:h="16838"/>
      <w:pgMar w:top="1701" w:right="1417" w:bottom="1417" w:left="1417" w:header="851" w:footer="992" w:gutter="0"/>
      <w:pgNumType w:start="1"/>
      <w:cols w:space="720" w:num="1"/>
      <w:docGrid w:type="linesAndChars" w:linePitch="394" w:charSpace="-261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456"/>
      </w:pPr>
      <w:r>
        <w:separator/>
      </w:r>
    </w:p>
  </w:endnote>
  <w:endnote w:type="continuationSeparator" w:id="1">
    <w:p>
      <w:pPr>
        <w:spacing w:line="240" w:lineRule="auto"/>
        <w:ind w:firstLine="456"/>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swiss"/>
    <w:pitch w:val="default"/>
    <w:sig w:usb0="80000287" w:usb1="2ACF3C50" w:usb2="00000016" w:usb3="00000000" w:csb0="0004001F" w:csb1="00000000"/>
  </w:font>
  <w:font w:name="PingFang-SC-Regular">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tabs>
        <w:tab w:val="center" w:pos="4536"/>
        <w:tab w:val="clear" w:pos="4153"/>
      </w:tabs>
      <w:ind w:firstLine="360"/>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286385" cy="273050"/>
              <wp:effectExtent l="0" t="0" r="0" b="0"/>
              <wp:wrapNone/>
              <wp:docPr id="1608983267" name="文本框 1"/>
              <wp:cNvGraphicFramePr/>
              <a:graphic xmlns:a="http://schemas.openxmlformats.org/drawingml/2006/main">
                <a:graphicData uri="http://schemas.microsoft.com/office/word/2010/wordprocessingShape">
                  <wps:wsp>
                    <wps:cNvSpPr txBox="1"/>
                    <wps:spPr>
                      <a:xfrm>
                        <a:off x="0" y="0"/>
                        <a:ext cx="286385" cy="273050"/>
                      </a:xfrm>
                      <a:prstGeom prst="rect">
                        <a:avLst/>
                      </a:prstGeom>
                      <a:noFill/>
                      <a:ln w="15875">
                        <a:noFill/>
                      </a:ln>
                    </wps:spPr>
                    <wps:txbx>
                      <w:txbxContent>
                        <w:p>
                          <w:pPr>
                            <w:pStyle w:val="16"/>
                            <w:ind w:firstLine="360"/>
                            <w:rPr>
                              <w:rStyle w:val="30"/>
                            </w:rPr>
                          </w:pPr>
                          <w:r>
                            <w:fldChar w:fldCharType="begin"/>
                          </w:r>
                          <w:r>
                            <w:rPr>
                              <w:rStyle w:val="30"/>
                            </w:rPr>
                            <w:instrText xml:space="preserve">PAGE  </w:instrText>
                          </w:r>
                          <w:r>
                            <w:fldChar w:fldCharType="separate"/>
                          </w:r>
                          <w:r>
                            <w:rPr>
                              <w:rStyle w:val="30"/>
                            </w:rPr>
                            <w:t>14</w:t>
                          </w:r>
                          <w:r>
                            <w:fldChar w:fldCharType="end"/>
                          </w:r>
                        </w:p>
                      </w:txbxContent>
                    </wps:txbx>
                    <wps:bodyPr vert="horz" wrap="none" lIns="0" tIns="0" rIns="0" bIns="0" anchor="t" anchorCtr="0">
                      <a:spAutoFit/>
                    </wps:bodyPr>
                  </wps:wsp>
                </a:graphicData>
              </a:graphic>
            </wp:anchor>
          </w:drawing>
        </mc:Choice>
        <mc:Fallback>
          <w:pict>
            <v:shape id="文本框 1" o:spid="_x0000_s1026" o:spt="202" type="#_x0000_t202" style="position:absolute;left:0pt;margin-top:0pt;height:21.5pt;width:22.55pt;mso-position-horizontal:center;mso-position-horizontal-relative:margin;mso-wrap-style:none;z-index:251659264;mso-width-relative:page;mso-height-relative:page;" filled="f" stroked="f" coordsize="21600,21600" o:gfxdata="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">
              <v:fill on="f" focussize="0,0"/>
              <v:stroke on="f" weight="1.25pt"/>
              <v:imagedata o:title=""/>
              <o:lock v:ext="edit" aspectratio="f"/>
              <v:textbox inset="0mm,0mm,0mm,0mm" style="mso-fit-shape-to-text:t;">
                <w:txbxContent>
                  <w:p>
                    <w:pPr>
                      <w:pStyle w:val="16"/>
                      <w:ind w:firstLine="360"/>
                      <w:rPr>
                        <w:rStyle w:val="30"/>
                      </w:rPr>
                    </w:pPr>
                    <w:r>
                      <w:fldChar w:fldCharType="begin"/>
                    </w:r>
                    <w:r>
                      <w:rPr>
                        <w:rStyle w:val="30"/>
                      </w:rPr>
                      <w:instrText xml:space="preserve">PAGE  </w:instrText>
                    </w:r>
                    <w:r>
                      <w:fldChar w:fldCharType="separate"/>
                    </w:r>
                    <w:r>
                      <w:rPr>
                        <w:rStyle w:val="30"/>
                      </w:rPr>
                      <w:t>14</w:t>
                    </w:r>
                    <w:r>
                      <w:fldChar w:fldCharType="end"/>
                    </w:r>
                  </w:p>
                </w:txbxContent>
              </v:textbox>
            </v:shape>
          </w:pict>
        </mc:Fallback>
      </mc:AlternateContent>
    </w:r>
    <w:r>
      <w:rPr>
        <w:rFonts w:hint="eastAsia"/>
      </w:rPr>
      <w:tab/>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ind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8" w:lineRule="auto"/>
        <w:ind w:firstLine="456"/>
      </w:pPr>
      <w:r>
        <w:separator/>
      </w:r>
    </w:p>
  </w:footnote>
  <w:footnote w:type="continuationSeparator" w:id="1">
    <w:p>
      <w:pPr>
        <w:spacing w:before="0" w:after="0" w:line="278" w:lineRule="auto"/>
        <w:ind w:firstLine="456"/>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pBdr>
        <w:bottom w:val="none" w:color="auto" w:sz="0" w:space="0"/>
      </w:pBdr>
      <w:ind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ind w:firstLine="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characterSpacingControl w:val="doNotCompress"/>
  <w:footnotePr>
    <w:footnote w:id="0"/>
    <w:footnote w:id="1"/>
  </w:footnotePr>
  <w:endnotePr>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zMwYjQ4NTg1NmJjMzU5ZDZlODEyNWNkMzA2MmJkYjIifQ=="/>
  </w:docVars>
  <w:rsids>
    <w:rsidRoot w:val="00437DC1"/>
    <w:rsid w:val="00002FA5"/>
    <w:rsid w:val="0001098E"/>
    <w:rsid w:val="0001162D"/>
    <w:rsid w:val="0001471F"/>
    <w:rsid w:val="00015796"/>
    <w:rsid w:val="000166BA"/>
    <w:rsid w:val="000173DB"/>
    <w:rsid w:val="000213D4"/>
    <w:rsid w:val="0002203E"/>
    <w:rsid w:val="000255E0"/>
    <w:rsid w:val="0002734C"/>
    <w:rsid w:val="0003203F"/>
    <w:rsid w:val="00040651"/>
    <w:rsid w:val="00041E9B"/>
    <w:rsid w:val="00052704"/>
    <w:rsid w:val="0006073E"/>
    <w:rsid w:val="000612C0"/>
    <w:rsid w:val="00066135"/>
    <w:rsid w:val="0006761E"/>
    <w:rsid w:val="000678BD"/>
    <w:rsid w:val="000722C1"/>
    <w:rsid w:val="00076329"/>
    <w:rsid w:val="00080505"/>
    <w:rsid w:val="000861DA"/>
    <w:rsid w:val="000910EA"/>
    <w:rsid w:val="000A2A3A"/>
    <w:rsid w:val="000A4788"/>
    <w:rsid w:val="000C59C8"/>
    <w:rsid w:val="000C622F"/>
    <w:rsid w:val="000D0391"/>
    <w:rsid w:val="000D4E3A"/>
    <w:rsid w:val="000D5457"/>
    <w:rsid w:val="000E591B"/>
    <w:rsid w:val="000F638F"/>
    <w:rsid w:val="000F68D6"/>
    <w:rsid w:val="001015F3"/>
    <w:rsid w:val="00112D50"/>
    <w:rsid w:val="00120F43"/>
    <w:rsid w:val="00127B9F"/>
    <w:rsid w:val="001379F8"/>
    <w:rsid w:val="00140607"/>
    <w:rsid w:val="001419BC"/>
    <w:rsid w:val="001452A0"/>
    <w:rsid w:val="00146540"/>
    <w:rsid w:val="00147D5C"/>
    <w:rsid w:val="00154577"/>
    <w:rsid w:val="001605F2"/>
    <w:rsid w:val="0016213B"/>
    <w:rsid w:val="001768F9"/>
    <w:rsid w:val="00176B10"/>
    <w:rsid w:val="00181115"/>
    <w:rsid w:val="001A0165"/>
    <w:rsid w:val="001A21A8"/>
    <w:rsid w:val="001B2607"/>
    <w:rsid w:val="001C066D"/>
    <w:rsid w:val="001D0C30"/>
    <w:rsid w:val="001D43E4"/>
    <w:rsid w:val="001D5C6F"/>
    <w:rsid w:val="001E1937"/>
    <w:rsid w:val="001F2C0E"/>
    <w:rsid w:val="001F3E53"/>
    <w:rsid w:val="002038B4"/>
    <w:rsid w:val="00207BFB"/>
    <w:rsid w:val="00226556"/>
    <w:rsid w:val="0023779B"/>
    <w:rsid w:val="0024382E"/>
    <w:rsid w:val="00261AA6"/>
    <w:rsid w:val="00261C33"/>
    <w:rsid w:val="0027232D"/>
    <w:rsid w:val="00272657"/>
    <w:rsid w:val="002748AB"/>
    <w:rsid w:val="002762C4"/>
    <w:rsid w:val="00277C86"/>
    <w:rsid w:val="00280CD0"/>
    <w:rsid w:val="00293962"/>
    <w:rsid w:val="0029591D"/>
    <w:rsid w:val="002A0560"/>
    <w:rsid w:val="002A603E"/>
    <w:rsid w:val="002B263F"/>
    <w:rsid w:val="002B3CEB"/>
    <w:rsid w:val="002B75E9"/>
    <w:rsid w:val="002D24D0"/>
    <w:rsid w:val="002E3EDC"/>
    <w:rsid w:val="002E7D04"/>
    <w:rsid w:val="002F1C09"/>
    <w:rsid w:val="002F5D86"/>
    <w:rsid w:val="002F70BC"/>
    <w:rsid w:val="0030317C"/>
    <w:rsid w:val="0030335B"/>
    <w:rsid w:val="00305FC3"/>
    <w:rsid w:val="00312B69"/>
    <w:rsid w:val="00320558"/>
    <w:rsid w:val="00325B83"/>
    <w:rsid w:val="0035275C"/>
    <w:rsid w:val="00361C9D"/>
    <w:rsid w:val="003655AD"/>
    <w:rsid w:val="00365B2E"/>
    <w:rsid w:val="003661E4"/>
    <w:rsid w:val="003679BE"/>
    <w:rsid w:val="00367EF1"/>
    <w:rsid w:val="00374E03"/>
    <w:rsid w:val="00377C52"/>
    <w:rsid w:val="00386BCA"/>
    <w:rsid w:val="00397497"/>
    <w:rsid w:val="0039755D"/>
    <w:rsid w:val="003A5C71"/>
    <w:rsid w:val="003B318B"/>
    <w:rsid w:val="003B689B"/>
    <w:rsid w:val="003C485C"/>
    <w:rsid w:val="003D0EE8"/>
    <w:rsid w:val="003E4465"/>
    <w:rsid w:val="003E7365"/>
    <w:rsid w:val="00400DF3"/>
    <w:rsid w:val="00403CA7"/>
    <w:rsid w:val="004047CD"/>
    <w:rsid w:val="00406E1D"/>
    <w:rsid w:val="004109F2"/>
    <w:rsid w:val="00410A20"/>
    <w:rsid w:val="00424A97"/>
    <w:rsid w:val="00424FDF"/>
    <w:rsid w:val="00425FDC"/>
    <w:rsid w:val="004260E1"/>
    <w:rsid w:val="00430364"/>
    <w:rsid w:val="00431FF1"/>
    <w:rsid w:val="0043202B"/>
    <w:rsid w:val="00437C5E"/>
    <w:rsid w:val="00437DC1"/>
    <w:rsid w:val="004401CF"/>
    <w:rsid w:val="00443189"/>
    <w:rsid w:val="00446ACF"/>
    <w:rsid w:val="00450A96"/>
    <w:rsid w:val="00453725"/>
    <w:rsid w:val="004552A9"/>
    <w:rsid w:val="00457539"/>
    <w:rsid w:val="004620B2"/>
    <w:rsid w:val="00463CE5"/>
    <w:rsid w:val="004672D5"/>
    <w:rsid w:val="00474E10"/>
    <w:rsid w:val="00476338"/>
    <w:rsid w:val="00482376"/>
    <w:rsid w:val="00482EFB"/>
    <w:rsid w:val="00484FC9"/>
    <w:rsid w:val="0048727A"/>
    <w:rsid w:val="00494AC8"/>
    <w:rsid w:val="004A0808"/>
    <w:rsid w:val="004A4D45"/>
    <w:rsid w:val="004B02FD"/>
    <w:rsid w:val="004B1564"/>
    <w:rsid w:val="004C21BE"/>
    <w:rsid w:val="004C2813"/>
    <w:rsid w:val="004C4133"/>
    <w:rsid w:val="004D157F"/>
    <w:rsid w:val="004D3AC1"/>
    <w:rsid w:val="004E39A6"/>
    <w:rsid w:val="004E6F3C"/>
    <w:rsid w:val="004F12F8"/>
    <w:rsid w:val="004F1C1B"/>
    <w:rsid w:val="004F5817"/>
    <w:rsid w:val="005061E8"/>
    <w:rsid w:val="005161F3"/>
    <w:rsid w:val="00516641"/>
    <w:rsid w:val="00516EE0"/>
    <w:rsid w:val="00517431"/>
    <w:rsid w:val="0052042F"/>
    <w:rsid w:val="0052213C"/>
    <w:rsid w:val="005276C9"/>
    <w:rsid w:val="005278A0"/>
    <w:rsid w:val="00527FF0"/>
    <w:rsid w:val="00533CEA"/>
    <w:rsid w:val="00534A8D"/>
    <w:rsid w:val="005445A8"/>
    <w:rsid w:val="005506B6"/>
    <w:rsid w:val="005515E3"/>
    <w:rsid w:val="005554F5"/>
    <w:rsid w:val="005570F5"/>
    <w:rsid w:val="0055797E"/>
    <w:rsid w:val="005626A2"/>
    <w:rsid w:val="00566FCD"/>
    <w:rsid w:val="005745D7"/>
    <w:rsid w:val="005745FD"/>
    <w:rsid w:val="00586F4E"/>
    <w:rsid w:val="00593F9E"/>
    <w:rsid w:val="00594152"/>
    <w:rsid w:val="005A0930"/>
    <w:rsid w:val="005B1EB0"/>
    <w:rsid w:val="005B363F"/>
    <w:rsid w:val="005C11A9"/>
    <w:rsid w:val="005D0760"/>
    <w:rsid w:val="005D733D"/>
    <w:rsid w:val="005D79B4"/>
    <w:rsid w:val="005E3088"/>
    <w:rsid w:val="005E48E7"/>
    <w:rsid w:val="005E5C62"/>
    <w:rsid w:val="005F1E8D"/>
    <w:rsid w:val="005F4DBB"/>
    <w:rsid w:val="00602E01"/>
    <w:rsid w:val="006044E1"/>
    <w:rsid w:val="00605EAA"/>
    <w:rsid w:val="006068BD"/>
    <w:rsid w:val="00610437"/>
    <w:rsid w:val="006174E0"/>
    <w:rsid w:val="00634239"/>
    <w:rsid w:val="00636F0B"/>
    <w:rsid w:val="00640410"/>
    <w:rsid w:val="00642645"/>
    <w:rsid w:val="00642EA4"/>
    <w:rsid w:val="00645C25"/>
    <w:rsid w:val="00650DA2"/>
    <w:rsid w:val="00652E53"/>
    <w:rsid w:val="006568EB"/>
    <w:rsid w:val="00666F7E"/>
    <w:rsid w:val="00667C77"/>
    <w:rsid w:val="0067730D"/>
    <w:rsid w:val="00680561"/>
    <w:rsid w:val="0068518B"/>
    <w:rsid w:val="0069277C"/>
    <w:rsid w:val="00694E6A"/>
    <w:rsid w:val="006A10BF"/>
    <w:rsid w:val="006A4417"/>
    <w:rsid w:val="006B02D3"/>
    <w:rsid w:val="006B2E7C"/>
    <w:rsid w:val="006B377C"/>
    <w:rsid w:val="006C6035"/>
    <w:rsid w:val="006D4FAD"/>
    <w:rsid w:val="006D6FC9"/>
    <w:rsid w:val="006E19F0"/>
    <w:rsid w:val="006E28B9"/>
    <w:rsid w:val="006E577D"/>
    <w:rsid w:val="006F1077"/>
    <w:rsid w:val="006F22F2"/>
    <w:rsid w:val="006F60CD"/>
    <w:rsid w:val="006F7C3B"/>
    <w:rsid w:val="00701273"/>
    <w:rsid w:val="007013D1"/>
    <w:rsid w:val="00701FD2"/>
    <w:rsid w:val="0070764A"/>
    <w:rsid w:val="0072736F"/>
    <w:rsid w:val="00730939"/>
    <w:rsid w:val="00732C03"/>
    <w:rsid w:val="00737D8F"/>
    <w:rsid w:val="00743CCE"/>
    <w:rsid w:val="00744604"/>
    <w:rsid w:val="00744D22"/>
    <w:rsid w:val="00747530"/>
    <w:rsid w:val="00757E50"/>
    <w:rsid w:val="00760FAF"/>
    <w:rsid w:val="00765ABA"/>
    <w:rsid w:val="0076717B"/>
    <w:rsid w:val="00767A30"/>
    <w:rsid w:val="00771DB6"/>
    <w:rsid w:val="007740DF"/>
    <w:rsid w:val="00774DE5"/>
    <w:rsid w:val="00783230"/>
    <w:rsid w:val="00787FF9"/>
    <w:rsid w:val="00794356"/>
    <w:rsid w:val="00797B09"/>
    <w:rsid w:val="007A472C"/>
    <w:rsid w:val="007B1D89"/>
    <w:rsid w:val="007C3573"/>
    <w:rsid w:val="007C793C"/>
    <w:rsid w:val="007E5D7E"/>
    <w:rsid w:val="007E76E2"/>
    <w:rsid w:val="007F59A2"/>
    <w:rsid w:val="007F73F6"/>
    <w:rsid w:val="00803FAC"/>
    <w:rsid w:val="008078F0"/>
    <w:rsid w:val="00807FC5"/>
    <w:rsid w:val="00810411"/>
    <w:rsid w:val="008148DC"/>
    <w:rsid w:val="00824FC2"/>
    <w:rsid w:val="00827754"/>
    <w:rsid w:val="00830FC2"/>
    <w:rsid w:val="00831D7B"/>
    <w:rsid w:val="00833D4A"/>
    <w:rsid w:val="00842F1B"/>
    <w:rsid w:val="00846EF5"/>
    <w:rsid w:val="0085089D"/>
    <w:rsid w:val="00850C33"/>
    <w:rsid w:val="00852BEA"/>
    <w:rsid w:val="00853C67"/>
    <w:rsid w:val="00855A88"/>
    <w:rsid w:val="00855D42"/>
    <w:rsid w:val="008604B8"/>
    <w:rsid w:val="00860D67"/>
    <w:rsid w:val="00863B8D"/>
    <w:rsid w:val="0087322B"/>
    <w:rsid w:val="008754FE"/>
    <w:rsid w:val="008A05DD"/>
    <w:rsid w:val="008A2ABF"/>
    <w:rsid w:val="008A3961"/>
    <w:rsid w:val="008A50B3"/>
    <w:rsid w:val="008A50BF"/>
    <w:rsid w:val="008A52C2"/>
    <w:rsid w:val="008B25DF"/>
    <w:rsid w:val="008B3D96"/>
    <w:rsid w:val="008C539E"/>
    <w:rsid w:val="008C6BB8"/>
    <w:rsid w:val="008D0894"/>
    <w:rsid w:val="008D3526"/>
    <w:rsid w:val="008E05DD"/>
    <w:rsid w:val="008E2CFD"/>
    <w:rsid w:val="008E3735"/>
    <w:rsid w:val="008E522B"/>
    <w:rsid w:val="008E6F12"/>
    <w:rsid w:val="009056EE"/>
    <w:rsid w:val="009072AC"/>
    <w:rsid w:val="00910723"/>
    <w:rsid w:val="00917293"/>
    <w:rsid w:val="009217AC"/>
    <w:rsid w:val="009242D2"/>
    <w:rsid w:val="009265D2"/>
    <w:rsid w:val="0094485B"/>
    <w:rsid w:val="009454FF"/>
    <w:rsid w:val="0094579E"/>
    <w:rsid w:val="0095031D"/>
    <w:rsid w:val="00950F19"/>
    <w:rsid w:val="00950F39"/>
    <w:rsid w:val="00953D06"/>
    <w:rsid w:val="009622D8"/>
    <w:rsid w:val="00962F2A"/>
    <w:rsid w:val="00991317"/>
    <w:rsid w:val="0099743A"/>
    <w:rsid w:val="009A0E71"/>
    <w:rsid w:val="009A227E"/>
    <w:rsid w:val="009A3A54"/>
    <w:rsid w:val="009A570C"/>
    <w:rsid w:val="009A6EBB"/>
    <w:rsid w:val="009C167D"/>
    <w:rsid w:val="009C2591"/>
    <w:rsid w:val="009C6899"/>
    <w:rsid w:val="009C78BB"/>
    <w:rsid w:val="009D2EAC"/>
    <w:rsid w:val="009D7FC6"/>
    <w:rsid w:val="009E1201"/>
    <w:rsid w:val="009E43BC"/>
    <w:rsid w:val="009E75EC"/>
    <w:rsid w:val="00A061B3"/>
    <w:rsid w:val="00A13A05"/>
    <w:rsid w:val="00A328C8"/>
    <w:rsid w:val="00A32E45"/>
    <w:rsid w:val="00A34001"/>
    <w:rsid w:val="00A34524"/>
    <w:rsid w:val="00A363A7"/>
    <w:rsid w:val="00A43FDE"/>
    <w:rsid w:val="00A46896"/>
    <w:rsid w:val="00A4718F"/>
    <w:rsid w:val="00A5511C"/>
    <w:rsid w:val="00A55718"/>
    <w:rsid w:val="00A61757"/>
    <w:rsid w:val="00A6230B"/>
    <w:rsid w:val="00A62C61"/>
    <w:rsid w:val="00A679F6"/>
    <w:rsid w:val="00A72B2D"/>
    <w:rsid w:val="00A72F24"/>
    <w:rsid w:val="00A8218B"/>
    <w:rsid w:val="00A86AF2"/>
    <w:rsid w:val="00A87BBE"/>
    <w:rsid w:val="00A87CF2"/>
    <w:rsid w:val="00A95017"/>
    <w:rsid w:val="00A97964"/>
    <w:rsid w:val="00AA05AB"/>
    <w:rsid w:val="00AA08F7"/>
    <w:rsid w:val="00AA3820"/>
    <w:rsid w:val="00AA52B3"/>
    <w:rsid w:val="00AB28FA"/>
    <w:rsid w:val="00AC4188"/>
    <w:rsid w:val="00AC51D9"/>
    <w:rsid w:val="00AD54F2"/>
    <w:rsid w:val="00AE09F5"/>
    <w:rsid w:val="00AE1D1E"/>
    <w:rsid w:val="00AE5230"/>
    <w:rsid w:val="00AE7950"/>
    <w:rsid w:val="00AF2D48"/>
    <w:rsid w:val="00B017EB"/>
    <w:rsid w:val="00B05296"/>
    <w:rsid w:val="00B06132"/>
    <w:rsid w:val="00B175B4"/>
    <w:rsid w:val="00B301C1"/>
    <w:rsid w:val="00B3261B"/>
    <w:rsid w:val="00B33283"/>
    <w:rsid w:val="00B333D7"/>
    <w:rsid w:val="00B34D60"/>
    <w:rsid w:val="00B35197"/>
    <w:rsid w:val="00B375E3"/>
    <w:rsid w:val="00B37D89"/>
    <w:rsid w:val="00B43935"/>
    <w:rsid w:val="00B553DC"/>
    <w:rsid w:val="00B55844"/>
    <w:rsid w:val="00B55C30"/>
    <w:rsid w:val="00B579C6"/>
    <w:rsid w:val="00B6377E"/>
    <w:rsid w:val="00B6424B"/>
    <w:rsid w:val="00B65C13"/>
    <w:rsid w:val="00B678D7"/>
    <w:rsid w:val="00B7444A"/>
    <w:rsid w:val="00B80360"/>
    <w:rsid w:val="00B83929"/>
    <w:rsid w:val="00B84AE9"/>
    <w:rsid w:val="00B9243B"/>
    <w:rsid w:val="00B92584"/>
    <w:rsid w:val="00B96AB4"/>
    <w:rsid w:val="00BA1030"/>
    <w:rsid w:val="00BA2013"/>
    <w:rsid w:val="00BA34A5"/>
    <w:rsid w:val="00BA5AF6"/>
    <w:rsid w:val="00BB0275"/>
    <w:rsid w:val="00BB56DA"/>
    <w:rsid w:val="00BB59D7"/>
    <w:rsid w:val="00BD7B66"/>
    <w:rsid w:val="00BF4DCF"/>
    <w:rsid w:val="00BF6F7B"/>
    <w:rsid w:val="00C01AA7"/>
    <w:rsid w:val="00C05BAC"/>
    <w:rsid w:val="00C16C06"/>
    <w:rsid w:val="00C243EB"/>
    <w:rsid w:val="00C26A61"/>
    <w:rsid w:val="00C343A1"/>
    <w:rsid w:val="00C464B5"/>
    <w:rsid w:val="00C47CBA"/>
    <w:rsid w:val="00C51699"/>
    <w:rsid w:val="00C51A48"/>
    <w:rsid w:val="00C56DB1"/>
    <w:rsid w:val="00C62676"/>
    <w:rsid w:val="00C67B14"/>
    <w:rsid w:val="00C71C88"/>
    <w:rsid w:val="00C7359D"/>
    <w:rsid w:val="00C81C77"/>
    <w:rsid w:val="00C92A03"/>
    <w:rsid w:val="00C96182"/>
    <w:rsid w:val="00CA1247"/>
    <w:rsid w:val="00CA2BD1"/>
    <w:rsid w:val="00CA2E27"/>
    <w:rsid w:val="00CA3EE9"/>
    <w:rsid w:val="00CA6F1E"/>
    <w:rsid w:val="00CB2B74"/>
    <w:rsid w:val="00CB7BAF"/>
    <w:rsid w:val="00CC5A7F"/>
    <w:rsid w:val="00CD08C7"/>
    <w:rsid w:val="00CD38A8"/>
    <w:rsid w:val="00CD3C28"/>
    <w:rsid w:val="00CD518A"/>
    <w:rsid w:val="00CE21EC"/>
    <w:rsid w:val="00CE261B"/>
    <w:rsid w:val="00CE3BCF"/>
    <w:rsid w:val="00CF63D3"/>
    <w:rsid w:val="00D039E0"/>
    <w:rsid w:val="00D1308F"/>
    <w:rsid w:val="00D15492"/>
    <w:rsid w:val="00D2384E"/>
    <w:rsid w:val="00D314EB"/>
    <w:rsid w:val="00D3205F"/>
    <w:rsid w:val="00D36D6F"/>
    <w:rsid w:val="00D45AFC"/>
    <w:rsid w:val="00D47FB9"/>
    <w:rsid w:val="00D51A81"/>
    <w:rsid w:val="00D55C34"/>
    <w:rsid w:val="00D61969"/>
    <w:rsid w:val="00D74674"/>
    <w:rsid w:val="00D75078"/>
    <w:rsid w:val="00D8183A"/>
    <w:rsid w:val="00D81E15"/>
    <w:rsid w:val="00D85ABE"/>
    <w:rsid w:val="00D85D26"/>
    <w:rsid w:val="00D865B5"/>
    <w:rsid w:val="00D865F7"/>
    <w:rsid w:val="00D9234D"/>
    <w:rsid w:val="00D928DD"/>
    <w:rsid w:val="00D979C4"/>
    <w:rsid w:val="00DB0E0B"/>
    <w:rsid w:val="00DB355D"/>
    <w:rsid w:val="00DB563F"/>
    <w:rsid w:val="00DB6305"/>
    <w:rsid w:val="00DB6F6B"/>
    <w:rsid w:val="00DC70D5"/>
    <w:rsid w:val="00DD6FCF"/>
    <w:rsid w:val="00DE21BF"/>
    <w:rsid w:val="00DE33DF"/>
    <w:rsid w:val="00DF0286"/>
    <w:rsid w:val="00DF212E"/>
    <w:rsid w:val="00DF2567"/>
    <w:rsid w:val="00DF332F"/>
    <w:rsid w:val="00DF4B58"/>
    <w:rsid w:val="00DF51A0"/>
    <w:rsid w:val="00E00078"/>
    <w:rsid w:val="00E0184E"/>
    <w:rsid w:val="00E06831"/>
    <w:rsid w:val="00E07680"/>
    <w:rsid w:val="00E2084D"/>
    <w:rsid w:val="00E209B2"/>
    <w:rsid w:val="00E24142"/>
    <w:rsid w:val="00E41B3D"/>
    <w:rsid w:val="00E51118"/>
    <w:rsid w:val="00E543C6"/>
    <w:rsid w:val="00E546C6"/>
    <w:rsid w:val="00E55554"/>
    <w:rsid w:val="00E6193F"/>
    <w:rsid w:val="00E666F1"/>
    <w:rsid w:val="00E72F1F"/>
    <w:rsid w:val="00E73ECA"/>
    <w:rsid w:val="00E745E7"/>
    <w:rsid w:val="00E7745A"/>
    <w:rsid w:val="00E84195"/>
    <w:rsid w:val="00E85030"/>
    <w:rsid w:val="00E8662F"/>
    <w:rsid w:val="00E954D8"/>
    <w:rsid w:val="00E967F2"/>
    <w:rsid w:val="00EA5E93"/>
    <w:rsid w:val="00EA6B4C"/>
    <w:rsid w:val="00EB319F"/>
    <w:rsid w:val="00EB3951"/>
    <w:rsid w:val="00EC143D"/>
    <w:rsid w:val="00EC269F"/>
    <w:rsid w:val="00EC3142"/>
    <w:rsid w:val="00EC35B5"/>
    <w:rsid w:val="00EC641F"/>
    <w:rsid w:val="00EC787E"/>
    <w:rsid w:val="00ED2C0F"/>
    <w:rsid w:val="00ED703B"/>
    <w:rsid w:val="00EE1295"/>
    <w:rsid w:val="00EE39BA"/>
    <w:rsid w:val="00EF7E32"/>
    <w:rsid w:val="00F27CCA"/>
    <w:rsid w:val="00F32FDB"/>
    <w:rsid w:val="00F41D59"/>
    <w:rsid w:val="00F47AE3"/>
    <w:rsid w:val="00F64C30"/>
    <w:rsid w:val="00F7133F"/>
    <w:rsid w:val="00F71628"/>
    <w:rsid w:val="00F73D3F"/>
    <w:rsid w:val="00F76EB2"/>
    <w:rsid w:val="00F76F4F"/>
    <w:rsid w:val="00F8270C"/>
    <w:rsid w:val="00F847FD"/>
    <w:rsid w:val="00F90EF7"/>
    <w:rsid w:val="00F921FC"/>
    <w:rsid w:val="00F9277B"/>
    <w:rsid w:val="00F95BD7"/>
    <w:rsid w:val="00FA381E"/>
    <w:rsid w:val="00FA63B8"/>
    <w:rsid w:val="00FB2FD8"/>
    <w:rsid w:val="00FB550C"/>
    <w:rsid w:val="00FB621C"/>
    <w:rsid w:val="00FC102B"/>
    <w:rsid w:val="00FC13D9"/>
    <w:rsid w:val="00FC4693"/>
    <w:rsid w:val="00FC4C2B"/>
    <w:rsid w:val="00FC4C7B"/>
    <w:rsid w:val="00FC77DF"/>
    <w:rsid w:val="00FD0548"/>
    <w:rsid w:val="00FD0DF2"/>
    <w:rsid w:val="00FD2E5C"/>
    <w:rsid w:val="00FD2FE1"/>
    <w:rsid w:val="00FD4F8E"/>
    <w:rsid w:val="00FD5DD1"/>
    <w:rsid w:val="00FD6F47"/>
    <w:rsid w:val="00FE011E"/>
    <w:rsid w:val="00FE08A2"/>
    <w:rsid w:val="00FE61EB"/>
    <w:rsid w:val="00FF0E68"/>
    <w:rsid w:val="00FF2496"/>
    <w:rsid w:val="00FF6DBB"/>
    <w:rsid w:val="01065189"/>
    <w:rsid w:val="023A13DD"/>
    <w:rsid w:val="03B029CE"/>
    <w:rsid w:val="03F96AB1"/>
    <w:rsid w:val="04F47CC8"/>
    <w:rsid w:val="079324A1"/>
    <w:rsid w:val="09036924"/>
    <w:rsid w:val="09F74D38"/>
    <w:rsid w:val="0B2C766D"/>
    <w:rsid w:val="0D267094"/>
    <w:rsid w:val="0F477209"/>
    <w:rsid w:val="1090453F"/>
    <w:rsid w:val="125D51C4"/>
    <w:rsid w:val="13F27A1A"/>
    <w:rsid w:val="14B1436D"/>
    <w:rsid w:val="153A2A40"/>
    <w:rsid w:val="1570087D"/>
    <w:rsid w:val="17606A5A"/>
    <w:rsid w:val="183E5B03"/>
    <w:rsid w:val="1896159F"/>
    <w:rsid w:val="19A704C2"/>
    <w:rsid w:val="19A741FA"/>
    <w:rsid w:val="1BEC5644"/>
    <w:rsid w:val="1C6C12A7"/>
    <w:rsid w:val="1D3F3968"/>
    <w:rsid w:val="204C7DFA"/>
    <w:rsid w:val="21662F05"/>
    <w:rsid w:val="21ED3B45"/>
    <w:rsid w:val="22B967CD"/>
    <w:rsid w:val="22E110D2"/>
    <w:rsid w:val="22E2686B"/>
    <w:rsid w:val="230C0252"/>
    <w:rsid w:val="27173710"/>
    <w:rsid w:val="284D1368"/>
    <w:rsid w:val="2C2B3683"/>
    <w:rsid w:val="2C836567"/>
    <w:rsid w:val="2D3C1E18"/>
    <w:rsid w:val="2E336784"/>
    <w:rsid w:val="2F634C98"/>
    <w:rsid w:val="2FD029A8"/>
    <w:rsid w:val="2FD1167E"/>
    <w:rsid w:val="318E4980"/>
    <w:rsid w:val="335715E3"/>
    <w:rsid w:val="33B23743"/>
    <w:rsid w:val="349F4E09"/>
    <w:rsid w:val="37ED6C72"/>
    <w:rsid w:val="3801634D"/>
    <w:rsid w:val="397F73F1"/>
    <w:rsid w:val="3A933578"/>
    <w:rsid w:val="3B361965"/>
    <w:rsid w:val="3C7E2E74"/>
    <w:rsid w:val="3CD91CEB"/>
    <w:rsid w:val="3EA155F2"/>
    <w:rsid w:val="41AA5F11"/>
    <w:rsid w:val="43570919"/>
    <w:rsid w:val="44111519"/>
    <w:rsid w:val="44581671"/>
    <w:rsid w:val="472C4339"/>
    <w:rsid w:val="48093144"/>
    <w:rsid w:val="4A366CA3"/>
    <w:rsid w:val="4E195F1D"/>
    <w:rsid w:val="4F7905D1"/>
    <w:rsid w:val="514357DA"/>
    <w:rsid w:val="527C510E"/>
    <w:rsid w:val="56562F98"/>
    <w:rsid w:val="58966C0D"/>
    <w:rsid w:val="5D097692"/>
    <w:rsid w:val="5E15111B"/>
    <w:rsid w:val="5E5648F7"/>
    <w:rsid w:val="60F125FD"/>
    <w:rsid w:val="61EB04C1"/>
    <w:rsid w:val="625869EA"/>
    <w:rsid w:val="63804BA4"/>
    <w:rsid w:val="65594967"/>
    <w:rsid w:val="662F23B5"/>
    <w:rsid w:val="695063C7"/>
    <w:rsid w:val="6AD077A7"/>
    <w:rsid w:val="6B761229"/>
    <w:rsid w:val="6BB80929"/>
    <w:rsid w:val="6C29094A"/>
    <w:rsid w:val="6D5B17BF"/>
    <w:rsid w:val="6EED6302"/>
    <w:rsid w:val="71AC72D9"/>
    <w:rsid w:val="72942FF3"/>
    <w:rsid w:val="72AF5F7B"/>
    <w:rsid w:val="72C64246"/>
    <w:rsid w:val="752605E7"/>
    <w:rsid w:val="75DF5721"/>
    <w:rsid w:val="77470352"/>
    <w:rsid w:val="77AA2F5A"/>
    <w:rsid w:val="780040FD"/>
    <w:rsid w:val="7A3A5111"/>
    <w:rsid w:val="7AB86F1A"/>
    <w:rsid w:val="7B1B5B59"/>
    <w:rsid w:val="7C234202"/>
    <w:rsid w:val="7CA85FD9"/>
    <w:rsid w:val="7CCE66D8"/>
    <w:rsid w:val="7D656F25"/>
    <w:rsid w:val="7FBE00C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iPriority="39" w:semiHidden="0" w:name="toc 2"/>
    <w:lsdException w:qFormat="1"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qFormat="1" w:uiPriority="39" w:semiHidden="0" w:name="toc 8"/>
    <w:lsdException w:qFormat="1" w:uiPriority="39"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qFormat="1" w:unhideWhenUsed="0" w:uiPriority="0" w:semiHidden="0" w:name="endnote reference"/>
    <w:lsdException w:qFormat="1"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spacing w:after="160" w:line="278" w:lineRule="auto"/>
      <w:ind w:firstLine="856" w:firstLineChars="200"/>
    </w:pPr>
    <w:rPr>
      <w:rFonts w:ascii="宋体" w:hAnsi="宋体" w:eastAsia="宋体" w:cs="Times New Roman"/>
      <w:kern w:val="2"/>
      <w:sz w:val="24"/>
      <w:szCs w:val="24"/>
      <w:lang w:val="en-US" w:eastAsia="zh-CN" w:bidi="ar-SA"/>
    </w:rPr>
  </w:style>
  <w:style w:type="paragraph" w:styleId="3">
    <w:name w:val="heading 1"/>
    <w:basedOn w:val="1"/>
    <w:next w:val="1"/>
    <w:autoRedefine/>
    <w:qFormat/>
    <w:uiPriority w:val="0"/>
    <w:pPr>
      <w:widowControl/>
      <w:spacing w:before="100" w:beforeAutospacing="1" w:after="100" w:afterAutospacing="1"/>
      <w:outlineLvl w:val="0"/>
    </w:pPr>
    <w:rPr>
      <w:rFonts w:cs="宋体"/>
      <w:b/>
      <w:bCs/>
      <w:kern w:val="36"/>
      <w:sz w:val="48"/>
      <w:szCs w:val="48"/>
    </w:rPr>
  </w:style>
  <w:style w:type="paragraph" w:styleId="4">
    <w:name w:val="heading 2"/>
    <w:basedOn w:val="1"/>
    <w:next w:val="1"/>
    <w:link w:val="47"/>
    <w:autoRedefine/>
    <w:qFormat/>
    <w:uiPriority w:val="0"/>
    <w:pPr>
      <w:widowControl/>
      <w:spacing w:before="100" w:beforeAutospacing="1" w:after="100" w:afterAutospacing="1"/>
      <w:outlineLvl w:val="1"/>
    </w:pPr>
    <w:rPr>
      <w:rFonts w:cs="宋体"/>
      <w:b/>
      <w:bCs/>
      <w:kern w:val="0"/>
      <w:sz w:val="36"/>
      <w:szCs w:val="36"/>
    </w:rPr>
  </w:style>
  <w:style w:type="paragraph" w:styleId="5">
    <w:name w:val="heading 3"/>
    <w:basedOn w:val="1"/>
    <w:next w:val="1"/>
    <w:autoRedefine/>
    <w:qFormat/>
    <w:uiPriority w:val="0"/>
    <w:pPr>
      <w:keepNext/>
      <w:keepLines/>
      <w:spacing w:before="260" w:after="260" w:line="416" w:lineRule="auto"/>
      <w:outlineLvl w:val="2"/>
    </w:pPr>
    <w:rPr>
      <w:b/>
      <w:bCs/>
      <w:sz w:val="32"/>
      <w:szCs w:val="32"/>
    </w:rPr>
  </w:style>
  <w:style w:type="character" w:default="1" w:styleId="27">
    <w:name w:val="Default Paragraph Font"/>
    <w:autoRedefine/>
    <w:semiHidden/>
    <w:unhideWhenUsed/>
    <w:qFormat/>
    <w:uiPriority w:val="1"/>
  </w:style>
  <w:style w:type="table" w:default="1" w:styleId="25">
    <w:name w:val="Normal Table"/>
    <w:autoRedefine/>
    <w:semiHidden/>
    <w:unhideWhenUsed/>
    <w:qFormat/>
    <w:uiPriority w:val="99"/>
    <w:tblPr>
      <w:tblCellMar>
        <w:top w:w="0" w:type="dxa"/>
        <w:left w:w="108" w:type="dxa"/>
        <w:bottom w:w="0" w:type="dxa"/>
        <w:right w:w="108" w:type="dxa"/>
      </w:tblCellMar>
    </w:tblPr>
  </w:style>
  <w:style w:type="paragraph" w:customStyle="1" w:styleId="2">
    <w:name w:val="表格文字"/>
    <w:basedOn w:val="1"/>
    <w:autoRedefine/>
    <w:qFormat/>
    <w:uiPriority w:val="0"/>
    <w:pPr>
      <w:spacing w:after="0" w:line="240" w:lineRule="auto"/>
      <w:ind w:firstLine="0" w:firstLineChars="0"/>
    </w:pPr>
    <w:rPr>
      <w:spacing w:val="10"/>
      <w:kern w:val="0"/>
    </w:rPr>
  </w:style>
  <w:style w:type="paragraph" w:styleId="6">
    <w:name w:val="toc 7"/>
    <w:basedOn w:val="1"/>
    <w:next w:val="1"/>
    <w:autoRedefine/>
    <w:unhideWhenUsed/>
    <w:qFormat/>
    <w:uiPriority w:val="39"/>
    <w:pPr>
      <w:ind w:left="2520" w:leftChars="1200" w:firstLine="0" w:firstLineChars="0"/>
      <w:jc w:val="both"/>
    </w:pPr>
    <w:rPr>
      <w:rFonts w:asciiTheme="minorHAnsi" w:hAnsiTheme="minorHAnsi" w:eastAsiaTheme="minorEastAsia" w:cstheme="minorBidi"/>
      <w:sz w:val="21"/>
      <w:szCs w:val="22"/>
    </w:rPr>
  </w:style>
  <w:style w:type="paragraph" w:styleId="7">
    <w:name w:val="Normal Indent"/>
    <w:basedOn w:val="1"/>
    <w:autoRedefine/>
    <w:qFormat/>
    <w:uiPriority w:val="0"/>
    <w:pPr>
      <w:widowControl/>
      <w:spacing w:before="100" w:beforeAutospacing="1" w:after="100" w:afterAutospacing="1"/>
    </w:pPr>
    <w:rPr>
      <w:rFonts w:cs="宋体"/>
      <w:kern w:val="0"/>
    </w:rPr>
  </w:style>
  <w:style w:type="paragraph" w:styleId="8">
    <w:name w:val="Body Text"/>
    <w:basedOn w:val="1"/>
    <w:link w:val="36"/>
    <w:autoRedefine/>
    <w:qFormat/>
    <w:uiPriority w:val="0"/>
    <w:pPr>
      <w:spacing w:after="120"/>
    </w:pPr>
  </w:style>
  <w:style w:type="paragraph" w:styleId="9">
    <w:name w:val="Body Text Indent"/>
    <w:basedOn w:val="1"/>
    <w:autoRedefine/>
    <w:qFormat/>
    <w:uiPriority w:val="0"/>
    <w:pPr>
      <w:spacing w:line="400" w:lineRule="exact"/>
      <w:ind w:firstLine="420"/>
    </w:pPr>
    <w:rPr>
      <w:szCs w:val="21"/>
    </w:rPr>
  </w:style>
  <w:style w:type="paragraph" w:styleId="10">
    <w:name w:val="toc 5"/>
    <w:basedOn w:val="1"/>
    <w:next w:val="1"/>
    <w:autoRedefine/>
    <w:unhideWhenUsed/>
    <w:qFormat/>
    <w:uiPriority w:val="39"/>
    <w:pPr>
      <w:ind w:left="1680" w:leftChars="800" w:firstLine="0" w:firstLineChars="0"/>
      <w:jc w:val="both"/>
    </w:pPr>
    <w:rPr>
      <w:rFonts w:asciiTheme="minorHAnsi" w:hAnsiTheme="minorHAnsi" w:eastAsiaTheme="minorEastAsia" w:cstheme="minorBidi"/>
      <w:sz w:val="21"/>
      <w:szCs w:val="22"/>
    </w:rPr>
  </w:style>
  <w:style w:type="paragraph" w:styleId="11">
    <w:name w:val="toc 3"/>
    <w:basedOn w:val="1"/>
    <w:next w:val="1"/>
    <w:autoRedefine/>
    <w:unhideWhenUsed/>
    <w:qFormat/>
    <w:uiPriority w:val="39"/>
    <w:pPr>
      <w:ind w:left="840" w:leftChars="400" w:firstLine="0" w:firstLineChars="0"/>
      <w:jc w:val="both"/>
    </w:pPr>
    <w:rPr>
      <w:rFonts w:asciiTheme="minorHAnsi" w:hAnsiTheme="minorHAnsi" w:eastAsiaTheme="minorEastAsia" w:cstheme="minorBidi"/>
      <w:sz w:val="21"/>
      <w:szCs w:val="22"/>
    </w:rPr>
  </w:style>
  <w:style w:type="paragraph" w:styleId="12">
    <w:name w:val="Plain Text"/>
    <w:basedOn w:val="1"/>
    <w:autoRedefine/>
    <w:qFormat/>
    <w:uiPriority w:val="0"/>
    <w:pPr>
      <w:widowControl/>
      <w:spacing w:before="100" w:beforeAutospacing="1" w:after="100" w:afterAutospacing="1"/>
    </w:pPr>
    <w:rPr>
      <w:rFonts w:cs="宋体"/>
      <w:kern w:val="0"/>
    </w:rPr>
  </w:style>
  <w:style w:type="paragraph" w:styleId="13">
    <w:name w:val="toc 8"/>
    <w:basedOn w:val="1"/>
    <w:next w:val="1"/>
    <w:autoRedefine/>
    <w:unhideWhenUsed/>
    <w:qFormat/>
    <w:uiPriority w:val="39"/>
    <w:pPr>
      <w:ind w:left="2940" w:leftChars="1400" w:firstLine="0" w:firstLineChars="0"/>
      <w:jc w:val="both"/>
    </w:pPr>
    <w:rPr>
      <w:rFonts w:asciiTheme="minorHAnsi" w:hAnsiTheme="minorHAnsi" w:eastAsiaTheme="minorEastAsia" w:cstheme="minorBidi"/>
      <w:sz w:val="21"/>
      <w:szCs w:val="22"/>
    </w:rPr>
  </w:style>
  <w:style w:type="paragraph" w:styleId="14">
    <w:name w:val="Body Text Indent 2"/>
    <w:basedOn w:val="1"/>
    <w:autoRedefine/>
    <w:qFormat/>
    <w:uiPriority w:val="0"/>
    <w:pPr>
      <w:spacing w:line="360" w:lineRule="exact"/>
      <w:ind w:left="420"/>
    </w:pPr>
    <w:rPr>
      <w:szCs w:val="20"/>
    </w:rPr>
  </w:style>
  <w:style w:type="paragraph" w:styleId="15">
    <w:name w:val="endnote text"/>
    <w:basedOn w:val="1"/>
    <w:link w:val="60"/>
    <w:autoRedefine/>
    <w:qFormat/>
    <w:uiPriority w:val="0"/>
    <w:pPr>
      <w:snapToGrid w:val="0"/>
    </w:pPr>
  </w:style>
  <w:style w:type="paragraph" w:styleId="16">
    <w:name w:val="footer"/>
    <w:basedOn w:val="1"/>
    <w:link w:val="56"/>
    <w:autoRedefine/>
    <w:qFormat/>
    <w:uiPriority w:val="0"/>
    <w:pPr>
      <w:tabs>
        <w:tab w:val="center" w:pos="4153"/>
        <w:tab w:val="right" w:pos="8306"/>
      </w:tabs>
      <w:snapToGrid w:val="0"/>
    </w:pPr>
    <w:rPr>
      <w:sz w:val="18"/>
      <w:szCs w:val="18"/>
    </w:rPr>
  </w:style>
  <w:style w:type="paragraph" w:styleId="17">
    <w:name w:val="header"/>
    <w:basedOn w:val="1"/>
    <w:autoRedefine/>
    <w:qFormat/>
    <w:uiPriority w:val="0"/>
    <w:pPr>
      <w:pBdr>
        <w:bottom w:val="single" w:color="auto" w:sz="6" w:space="1"/>
      </w:pBdr>
      <w:tabs>
        <w:tab w:val="center" w:pos="4153"/>
        <w:tab w:val="right" w:pos="8306"/>
      </w:tabs>
      <w:snapToGrid w:val="0"/>
      <w:jc w:val="center"/>
    </w:pPr>
    <w:rPr>
      <w:sz w:val="18"/>
      <w:szCs w:val="18"/>
    </w:rPr>
  </w:style>
  <w:style w:type="paragraph" w:styleId="18">
    <w:name w:val="toc 1"/>
    <w:basedOn w:val="1"/>
    <w:next w:val="1"/>
    <w:autoRedefine/>
    <w:qFormat/>
    <w:uiPriority w:val="39"/>
  </w:style>
  <w:style w:type="paragraph" w:styleId="19">
    <w:name w:val="toc 4"/>
    <w:basedOn w:val="1"/>
    <w:next w:val="1"/>
    <w:autoRedefine/>
    <w:unhideWhenUsed/>
    <w:qFormat/>
    <w:uiPriority w:val="39"/>
    <w:pPr>
      <w:ind w:left="1260" w:leftChars="600" w:firstLine="0" w:firstLineChars="0"/>
      <w:jc w:val="both"/>
    </w:pPr>
    <w:rPr>
      <w:rFonts w:asciiTheme="minorHAnsi" w:hAnsiTheme="minorHAnsi" w:eastAsiaTheme="minorEastAsia" w:cstheme="minorBidi"/>
      <w:sz w:val="21"/>
      <w:szCs w:val="22"/>
    </w:rPr>
  </w:style>
  <w:style w:type="paragraph" w:styleId="20">
    <w:name w:val="toc 6"/>
    <w:basedOn w:val="1"/>
    <w:next w:val="1"/>
    <w:autoRedefine/>
    <w:unhideWhenUsed/>
    <w:qFormat/>
    <w:uiPriority w:val="39"/>
    <w:pPr>
      <w:ind w:left="2100" w:leftChars="1000" w:firstLine="0" w:firstLineChars="0"/>
      <w:jc w:val="both"/>
    </w:pPr>
    <w:rPr>
      <w:rFonts w:asciiTheme="minorHAnsi" w:hAnsiTheme="minorHAnsi" w:eastAsiaTheme="minorEastAsia" w:cstheme="minorBidi"/>
      <w:sz w:val="21"/>
      <w:szCs w:val="22"/>
    </w:rPr>
  </w:style>
  <w:style w:type="paragraph" w:styleId="21">
    <w:name w:val="toc 2"/>
    <w:basedOn w:val="1"/>
    <w:next w:val="1"/>
    <w:autoRedefine/>
    <w:unhideWhenUsed/>
    <w:qFormat/>
    <w:uiPriority w:val="39"/>
    <w:pPr>
      <w:ind w:left="420" w:leftChars="200" w:firstLine="0" w:firstLineChars="0"/>
      <w:jc w:val="both"/>
    </w:pPr>
    <w:rPr>
      <w:rFonts w:asciiTheme="minorHAnsi" w:hAnsiTheme="minorHAnsi" w:eastAsiaTheme="minorEastAsia" w:cstheme="minorBidi"/>
      <w:sz w:val="21"/>
      <w:szCs w:val="22"/>
    </w:rPr>
  </w:style>
  <w:style w:type="paragraph" w:styleId="22">
    <w:name w:val="toc 9"/>
    <w:basedOn w:val="1"/>
    <w:next w:val="1"/>
    <w:autoRedefine/>
    <w:unhideWhenUsed/>
    <w:qFormat/>
    <w:uiPriority w:val="39"/>
    <w:pPr>
      <w:ind w:left="3360" w:leftChars="1600" w:firstLine="0" w:firstLineChars="0"/>
      <w:jc w:val="both"/>
    </w:pPr>
    <w:rPr>
      <w:rFonts w:asciiTheme="minorHAnsi" w:hAnsiTheme="minorHAnsi" w:eastAsiaTheme="minorEastAsia" w:cstheme="minorBidi"/>
      <w:sz w:val="21"/>
      <w:szCs w:val="22"/>
    </w:rPr>
  </w:style>
  <w:style w:type="paragraph" w:styleId="23">
    <w:name w:val="Normal (Web)"/>
    <w:basedOn w:val="1"/>
    <w:autoRedefine/>
    <w:unhideWhenUsed/>
    <w:qFormat/>
    <w:uiPriority w:val="99"/>
    <w:pPr>
      <w:widowControl/>
      <w:spacing w:before="100" w:beforeAutospacing="1" w:after="100" w:afterAutospacing="1"/>
    </w:pPr>
    <w:rPr>
      <w:rFonts w:cs="宋体"/>
      <w:kern w:val="0"/>
    </w:rPr>
  </w:style>
  <w:style w:type="paragraph" w:styleId="24">
    <w:name w:val="Title"/>
    <w:basedOn w:val="1"/>
    <w:next w:val="1"/>
    <w:link w:val="52"/>
    <w:autoRedefine/>
    <w:qFormat/>
    <w:uiPriority w:val="0"/>
    <w:pPr>
      <w:spacing w:before="240" w:after="60"/>
      <w:jc w:val="center"/>
      <w:outlineLvl w:val="0"/>
    </w:pPr>
    <w:rPr>
      <w:rFonts w:asciiTheme="majorHAnsi" w:hAnsiTheme="majorHAnsi" w:eastAsiaTheme="majorEastAsia" w:cstheme="majorBidi"/>
      <w:b/>
      <w:bCs/>
      <w:sz w:val="32"/>
      <w:szCs w:val="32"/>
    </w:rPr>
  </w:style>
  <w:style w:type="table" w:styleId="26">
    <w:name w:val="Table Grid"/>
    <w:basedOn w:val="25"/>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8">
    <w:name w:val="Strong"/>
    <w:autoRedefine/>
    <w:qFormat/>
    <w:uiPriority w:val="22"/>
    <w:rPr>
      <w:b/>
      <w:bCs/>
    </w:rPr>
  </w:style>
  <w:style w:type="character" w:styleId="29">
    <w:name w:val="endnote reference"/>
    <w:basedOn w:val="27"/>
    <w:autoRedefine/>
    <w:qFormat/>
    <w:uiPriority w:val="0"/>
    <w:rPr>
      <w:vertAlign w:val="superscript"/>
    </w:rPr>
  </w:style>
  <w:style w:type="character" w:styleId="30">
    <w:name w:val="page number"/>
    <w:basedOn w:val="27"/>
    <w:autoRedefine/>
    <w:qFormat/>
    <w:uiPriority w:val="0"/>
  </w:style>
  <w:style w:type="character" w:styleId="31">
    <w:name w:val="Hyperlink"/>
    <w:basedOn w:val="27"/>
    <w:autoRedefine/>
    <w:qFormat/>
    <w:uiPriority w:val="99"/>
    <w:rPr>
      <w:color w:val="0000FF"/>
      <w:u w:val="single"/>
    </w:rPr>
  </w:style>
  <w:style w:type="paragraph" w:customStyle="1" w:styleId="32">
    <w:name w:val="标题三"/>
    <w:basedOn w:val="5"/>
    <w:autoRedefine/>
    <w:qFormat/>
    <w:uiPriority w:val="0"/>
    <w:pPr>
      <w:spacing w:before="0" w:after="0" w:line="360" w:lineRule="auto"/>
      <w:ind w:firstLine="200"/>
    </w:pPr>
    <w:rPr>
      <w:sz w:val="28"/>
      <w:szCs w:val="24"/>
    </w:rPr>
  </w:style>
  <w:style w:type="paragraph" w:styleId="33">
    <w:name w:val="List Paragraph"/>
    <w:basedOn w:val="1"/>
    <w:autoRedefine/>
    <w:qFormat/>
    <w:uiPriority w:val="0"/>
    <w:pPr>
      <w:widowControl/>
      <w:adjustRightInd w:val="0"/>
      <w:snapToGrid w:val="0"/>
      <w:spacing w:after="200"/>
      <w:ind w:firstLine="420"/>
    </w:pPr>
    <w:rPr>
      <w:rFonts w:ascii="Tahoma" w:hAnsi="Tahoma" w:eastAsia="微软雅黑"/>
      <w:kern w:val="0"/>
      <w:sz w:val="22"/>
      <w:szCs w:val="20"/>
    </w:rPr>
  </w:style>
  <w:style w:type="paragraph" w:customStyle="1" w:styleId="34">
    <w:name w:val="样式 宋体 行距: 固定值 20 磅"/>
    <w:basedOn w:val="1"/>
    <w:autoRedefine/>
    <w:qFormat/>
    <w:uiPriority w:val="0"/>
    <w:pPr>
      <w:spacing w:line="360" w:lineRule="auto"/>
      <w:ind w:firstLine="200"/>
    </w:pPr>
    <w:rPr>
      <w:rFonts w:cs="宋体"/>
      <w:szCs w:val="20"/>
    </w:rPr>
  </w:style>
  <w:style w:type="paragraph" w:customStyle="1" w:styleId="35">
    <w:name w:val="Char Char Char Char"/>
    <w:basedOn w:val="1"/>
    <w:autoRedefine/>
    <w:qFormat/>
    <w:uiPriority w:val="0"/>
  </w:style>
  <w:style w:type="character" w:customStyle="1" w:styleId="36">
    <w:name w:val="正文文本 字符"/>
    <w:basedOn w:val="27"/>
    <w:link w:val="8"/>
    <w:autoRedefine/>
    <w:qFormat/>
    <w:uiPriority w:val="0"/>
    <w:rPr>
      <w:kern w:val="2"/>
      <w:sz w:val="21"/>
      <w:szCs w:val="24"/>
    </w:rPr>
  </w:style>
  <w:style w:type="paragraph" w:customStyle="1" w:styleId="37">
    <w:name w:val="Table Paragraph"/>
    <w:basedOn w:val="1"/>
    <w:autoRedefine/>
    <w:unhideWhenUsed/>
    <w:qFormat/>
    <w:uiPriority w:val="1"/>
    <w:pPr>
      <w:autoSpaceDE w:val="0"/>
      <w:autoSpaceDN w:val="0"/>
      <w:adjustRightInd w:val="0"/>
    </w:pPr>
    <w:rPr>
      <w:rFonts w:hint="eastAsia"/>
      <w:kern w:val="0"/>
      <w:szCs w:val="20"/>
    </w:rPr>
  </w:style>
  <w:style w:type="character" w:customStyle="1" w:styleId="38">
    <w:name w:val="font41"/>
    <w:basedOn w:val="27"/>
    <w:autoRedefine/>
    <w:qFormat/>
    <w:uiPriority w:val="0"/>
    <w:rPr>
      <w:rFonts w:hint="eastAsia" w:ascii="宋体" w:hAnsi="宋体" w:eastAsia="宋体"/>
      <w:color w:val="000000"/>
      <w:sz w:val="21"/>
      <w:szCs w:val="21"/>
      <w:u w:val="none"/>
    </w:rPr>
  </w:style>
  <w:style w:type="character" w:customStyle="1" w:styleId="39">
    <w:name w:val="font01"/>
    <w:basedOn w:val="27"/>
    <w:autoRedefine/>
    <w:qFormat/>
    <w:uiPriority w:val="0"/>
    <w:rPr>
      <w:rFonts w:hint="eastAsia" w:ascii="宋体" w:hAnsi="宋体" w:eastAsia="宋体"/>
      <w:color w:val="000000"/>
      <w:sz w:val="14"/>
      <w:szCs w:val="14"/>
      <w:u w:val="none"/>
    </w:rPr>
  </w:style>
  <w:style w:type="character" w:customStyle="1" w:styleId="40">
    <w:name w:val="font51"/>
    <w:basedOn w:val="27"/>
    <w:autoRedefine/>
    <w:qFormat/>
    <w:uiPriority w:val="0"/>
    <w:rPr>
      <w:rFonts w:hint="eastAsia" w:ascii="宋体" w:hAnsi="宋体" w:eastAsia="宋体"/>
      <w:color w:val="000000"/>
      <w:sz w:val="21"/>
      <w:szCs w:val="21"/>
      <w:u w:val="none"/>
    </w:rPr>
  </w:style>
  <w:style w:type="character" w:customStyle="1" w:styleId="41">
    <w:name w:val="未处理的提及1"/>
    <w:basedOn w:val="27"/>
    <w:autoRedefine/>
    <w:semiHidden/>
    <w:unhideWhenUsed/>
    <w:qFormat/>
    <w:uiPriority w:val="99"/>
    <w:rPr>
      <w:color w:val="605E5C"/>
      <w:shd w:val="clear" w:color="auto" w:fill="E1DFDD"/>
    </w:rPr>
  </w:style>
  <w:style w:type="paragraph" w:customStyle="1" w:styleId="42">
    <w:name w:val="gs2"/>
    <w:basedOn w:val="1"/>
    <w:autoRedefine/>
    <w:qFormat/>
    <w:uiPriority w:val="0"/>
    <w:pPr>
      <w:widowControl/>
      <w:spacing w:before="100" w:beforeAutospacing="1" w:after="100" w:afterAutospacing="1" w:line="454" w:lineRule="atLeast"/>
    </w:pPr>
    <w:rPr>
      <w:rFonts w:cs="宋体"/>
      <w:kern w:val="0"/>
      <w:szCs w:val="21"/>
    </w:rPr>
  </w:style>
  <w:style w:type="character" w:customStyle="1" w:styleId="43">
    <w:name w:val="未处理的提及2"/>
    <w:basedOn w:val="27"/>
    <w:autoRedefine/>
    <w:semiHidden/>
    <w:unhideWhenUsed/>
    <w:qFormat/>
    <w:uiPriority w:val="99"/>
    <w:rPr>
      <w:rFonts w:ascii="Times New Roman" w:hAnsi="Times New Roman" w:eastAsia="宋体" w:cs="Times New Roman"/>
      <w:color w:val="605E5C"/>
      <w:shd w:val="clear" w:color="auto" w:fill="E1DFDD"/>
    </w:rPr>
  </w:style>
  <w:style w:type="character" w:customStyle="1" w:styleId="44">
    <w:name w:val="font21"/>
    <w:basedOn w:val="27"/>
    <w:autoRedefine/>
    <w:qFormat/>
    <w:uiPriority w:val="0"/>
    <w:rPr>
      <w:rFonts w:hint="eastAsia" w:ascii="宋体" w:hAnsi="宋体" w:eastAsia="宋体" w:cs="Times New Roman"/>
      <w:b/>
      <w:bCs/>
      <w:color w:val="000000"/>
      <w:sz w:val="21"/>
      <w:szCs w:val="21"/>
      <w:u w:val="none"/>
    </w:rPr>
  </w:style>
  <w:style w:type="character" w:customStyle="1" w:styleId="45">
    <w:name w:val="font11"/>
    <w:basedOn w:val="27"/>
    <w:autoRedefine/>
    <w:qFormat/>
    <w:uiPriority w:val="0"/>
    <w:rPr>
      <w:rFonts w:hint="eastAsia" w:ascii="宋体" w:hAnsi="宋体" w:eastAsia="宋体" w:cs="宋体"/>
      <w:b/>
      <w:color w:val="000000"/>
      <w:sz w:val="21"/>
      <w:szCs w:val="21"/>
      <w:u w:val="none"/>
    </w:rPr>
  </w:style>
  <w:style w:type="paragraph" w:customStyle="1" w:styleId="46">
    <w:name w:val="s16"/>
    <w:basedOn w:val="1"/>
    <w:autoRedefine/>
    <w:qFormat/>
    <w:uiPriority w:val="0"/>
    <w:pPr>
      <w:widowControl/>
      <w:spacing w:before="100" w:beforeAutospacing="1" w:after="100" w:afterAutospacing="1"/>
    </w:pPr>
    <w:rPr>
      <w:rFonts w:cs="宋体"/>
      <w:kern w:val="0"/>
    </w:rPr>
  </w:style>
  <w:style w:type="character" w:customStyle="1" w:styleId="47">
    <w:name w:val="标题 2 字符"/>
    <w:basedOn w:val="27"/>
    <w:link w:val="4"/>
    <w:autoRedefine/>
    <w:qFormat/>
    <w:uiPriority w:val="0"/>
    <w:rPr>
      <w:rFonts w:ascii="宋体" w:hAnsi="宋体" w:eastAsia="宋体" w:cs="宋体"/>
      <w:b/>
      <w:bCs/>
      <w:kern w:val="0"/>
      <w:sz w:val="36"/>
      <w:szCs w:val="36"/>
    </w:rPr>
  </w:style>
  <w:style w:type="character" w:customStyle="1" w:styleId="48">
    <w:name w:val="NormalCharacter"/>
    <w:semiHidden/>
    <w:qFormat/>
    <w:uiPriority w:val="0"/>
    <w:rPr>
      <w:rFonts w:ascii="Times New Roman" w:hAnsi="Times New Roman" w:eastAsia="宋体" w:cs="Times New Roman"/>
    </w:rPr>
  </w:style>
  <w:style w:type="paragraph" w:customStyle="1" w:styleId="49">
    <w:name w:val="PlainText"/>
    <w:basedOn w:val="1"/>
    <w:qFormat/>
    <w:uiPriority w:val="0"/>
    <w:rPr>
      <w:rFonts w:hAnsi="Courier New"/>
      <w:szCs w:val="20"/>
    </w:rPr>
  </w:style>
  <w:style w:type="character" w:customStyle="1" w:styleId="50">
    <w:name w:val="@标题1级 Char"/>
    <w:link w:val="51"/>
    <w:qFormat/>
    <w:locked/>
    <w:uiPriority w:val="99"/>
    <w:rPr>
      <w:rFonts w:ascii="黑体" w:hAnsi="黑体" w:eastAsia="黑体" w:cs="Times New Roman"/>
      <w:kern w:val="0"/>
      <w:sz w:val="36"/>
      <w:szCs w:val="20"/>
    </w:rPr>
  </w:style>
  <w:style w:type="paragraph" w:customStyle="1" w:styleId="51">
    <w:name w:val="@标题1级"/>
    <w:basedOn w:val="24"/>
    <w:link w:val="50"/>
    <w:qFormat/>
    <w:uiPriority w:val="99"/>
    <w:rPr>
      <w:rFonts w:ascii="黑体" w:hAnsi="黑体" w:eastAsia="黑体" w:cs="Times New Roman"/>
      <w:bCs w:val="0"/>
      <w:kern w:val="0"/>
      <w:sz w:val="36"/>
      <w:szCs w:val="20"/>
    </w:rPr>
  </w:style>
  <w:style w:type="character" w:customStyle="1" w:styleId="52">
    <w:name w:val="标题 字符"/>
    <w:basedOn w:val="27"/>
    <w:link w:val="24"/>
    <w:qFormat/>
    <w:uiPriority w:val="0"/>
    <w:rPr>
      <w:rFonts w:asciiTheme="majorHAnsi" w:hAnsiTheme="majorHAnsi" w:eastAsiaTheme="majorEastAsia" w:cstheme="majorBidi"/>
      <w:b/>
      <w:bCs/>
      <w:sz w:val="32"/>
      <w:szCs w:val="32"/>
    </w:rPr>
  </w:style>
  <w:style w:type="character" w:customStyle="1" w:styleId="53">
    <w:name w:val="font61"/>
    <w:basedOn w:val="27"/>
    <w:autoRedefine/>
    <w:qFormat/>
    <w:uiPriority w:val="0"/>
    <w:rPr>
      <w:rFonts w:hint="default" w:ascii="Times New Roman" w:hAnsi="Times New Roman" w:eastAsia="宋体" w:cs="Times New Roman"/>
      <w:color w:val="000000"/>
      <w:sz w:val="21"/>
      <w:szCs w:val="21"/>
      <w:u w:val="none"/>
    </w:rPr>
  </w:style>
  <w:style w:type="character" w:customStyle="1" w:styleId="54">
    <w:name w:val="font71"/>
    <w:basedOn w:val="27"/>
    <w:autoRedefine/>
    <w:qFormat/>
    <w:uiPriority w:val="0"/>
    <w:rPr>
      <w:rFonts w:hint="default" w:ascii="Times New Roman" w:hAnsi="Times New Roman" w:eastAsia="宋体" w:cs="Times New Roman"/>
      <w:b/>
      <w:color w:val="000000"/>
      <w:sz w:val="21"/>
      <w:szCs w:val="21"/>
      <w:u w:val="none"/>
    </w:rPr>
  </w:style>
  <w:style w:type="character" w:customStyle="1" w:styleId="55">
    <w:name w:val="font31"/>
    <w:basedOn w:val="27"/>
    <w:autoRedefine/>
    <w:qFormat/>
    <w:uiPriority w:val="0"/>
    <w:rPr>
      <w:rFonts w:ascii="PingFang-SC-Regular" w:hAnsi="PingFang-SC-Regular" w:eastAsia="PingFang-SC-Regular" w:cs="PingFang-SC-Regular"/>
      <w:color w:val="05073B"/>
      <w:sz w:val="23"/>
      <w:szCs w:val="23"/>
      <w:u w:val="none"/>
    </w:rPr>
  </w:style>
  <w:style w:type="character" w:customStyle="1" w:styleId="56">
    <w:name w:val="页脚 字符"/>
    <w:basedOn w:val="27"/>
    <w:link w:val="16"/>
    <w:autoRedefine/>
    <w:qFormat/>
    <w:uiPriority w:val="99"/>
    <w:rPr>
      <w:rFonts w:ascii="Times New Roman" w:hAnsi="Times New Roman" w:eastAsia="宋体" w:cs="Times New Roman"/>
      <w:sz w:val="18"/>
      <w:szCs w:val="18"/>
    </w:rPr>
  </w:style>
  <w:style w:type="character" w:customStyle="1" w:styleId="57">
    <w:name w:val="未处理的提及3"/>
    <w:basedOn w:val="27"/>
    <w:autoRedefine/>
    <w:semiHidden/>
    <w:unhideWhenUsed/>
    <w:qFormat/>
    <w:uiPriority w:val="99"/>
    <w:rPr>
      <w:color w:val="605E5C"/>
      <w:shd w:val="clear" w:color="auto" w:fill="E1DFDD"/>
    </w:rPr>
  </w:style>
  <w:style w:type="paragraph" w:customStyle="1" w:styleId="58">
    <w:name w:val="TOC 标题1"/>
    <w:basedOn w:val="3"/>
    <w:next w:val="1"/>
    <w:autoRedefine/>
    <w:unhideWhenUsed/>
    <w:qFormat/>
    <w:uiPriority w:val="39"/>
    <w:pPr>
      <w:keepNext/>
      <w:keepLines/>
      <w:spacing w:before="240" w:beforeAutospacing="0" w:after="0" w:afterAutospacing="0" w:line="259" w:lineRule="auto"/>
      <w:ind w:firstLine="0" w:firstLineChars="0"/>
      <w:outlineLvl w:val="9"/>
    </w:pPr>
    <w:rPr>
      <w:rFonts w:asciiTheme="majorHAnsi" w:hAnsiTheme="majorHAnsi" w:eastAsiaTheme="majorEastAsia" w:cstheme="majorBidi"/>
      <w:b w:val="0"/>
      <w:bCs w:val="0"/>
      <w:color w:val="376092" w:themeColor="accent1" w:themeShade="BF"/>
      <w:kern w:val="0"/>
      <w:sz w:val="32"/>
      <w:szCs w:val="32"/>
    </w:rPr>
  </w:style>
  <w:style w:type="character" w:customStyle="1" w:styleId="59">
    <w:name w:val="未处理的提及4"/>
    <w:basedOn w:val="27"/>
    <w:autoRedefine/>
    <w:semiHidden/>
    <w:unhideWhenUsed/>
    <w:qFormat/>
    <w:uiPriority w:val="99"/>
    <w:rPr>
      <w:color w:val="605E5C"/>
      <w:shd w:val="clear" w:color="auto" w:fill="E1DFDD"/>
    </w:rPr>
  </w:style>
  <w:style w:type="character" w:customStyle="1" w:styleId="60">
    <w:name w:val="尾注文本 字符"/>
    <w:basedOn w:val="27"/>
    <w:link w:val="15"/>
    <w:autoRedefine/>
    <w:qFormat/>
    <w:uiPriority w:val="0"/>
    <w:rPr>
      <w:rFonts w:ascii="宋体" w:hAnsi="宋体"/>
      <w:kern w:val="2"/>
      <w:sz w:val="24"/>
      <w:szCs w:val="24"/>
    </w:rPr>
  </w:style>
  <w:style w:type="character" w:customStyle="1" w:styleId="61">
    <w:name w:val="Unresolved Mention"/>
    <w:basedOn w:val="27"/>
    <w:autoRedefine/>
    <w:semiHidden/>
    <w:unhideWhenUsed/>
    <w:qFormat/>
    <w:uiPriority w:val="99"/>
    <w:rPr>
      <w:color w:val="605E5C"/>
      <w:shd w:val="clear" w:color="auto" w:fill="E1DFDD"/>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customXml" Target="../customXml/item2.xml"/><Relationship Id="rId12" Type="http://schemas.openxmlformats.org/officeDocument/2006/relationships/customXml" Target="../customXml/item1.xml"/><Relationship Id="rId11" Type="http://schemas.openxmlformats.org/officeDocument/2006/relationships/theme" Target="theme/theme1.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7EA14AB7-5408-49D0-867B-51105BE947E2}">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17</Pages>
  <Words>2322</Words>
  <Characters>13236</Characters>
  <Lines>110</Lines>
  <Paragraphs>31</Paragraphs>
  <TotalTime>26</TotalTime>
  <ScaleCrop>false</ScaleCrop>
  <LinksUpToDate>false</LinksUpToDate>
  <CharactersWithSpaces>15527</CharactersWithSpaces>
  <Application>WPS Office_12.1.0.16729_F1E327BC-269C-435d-A152-05C5408002CA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2024-05-11T13:35:00Z</dcterms:created>
  <dc:creator>吴增抱</dc:creator>
  <cp:lastModifiedBy>hexiiia</cp:lastModifiedBy>
  <cp:lastPrinted>2024-04-11T08:41:00Z</cp:lastPrinted>
  <dcterms:modified xsi:type="dcterms:W3CDTF">2024-06-07T12:00:31Z</dcterms:modified>
  <dc:title>时尚买手与营销课程标准</dc:title>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2052-12.1.0.16729</vt:lpwstr>
  </property>
  <property fmtid="{D5CDD505-2E9C-101B-9397-08002B2CF9AE}" pid="3" name="ICV">
    <vt:lpwstr>4EB1175EB49043DB950798A01C8CBC48_13</vt:lpwstr>
  </property>
</Properties>
</file>